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2AA12" w14:textId="23C47C45" w:rsidR="007B4609" w:rsidRPr="007C60E6" w:rsidRDefault="007B4609" w:rsidP="007B4609">
      <w:pPr>
        <w:jc w:val="both"/>
      </w:pPr>
      <w:r w:rsidRPr="007C60E6">
        <w:rPr>
          <w:b/>
        </w:rPr>
        <w:t xml:space="preserve">Target number:  </w:t>
      </w:r>
      <w:r w:rsidR="0095052B">
        <w:rPr>
          <w:b/>
        </w:rPr>
        <w:t>14.1</w:t>
      </w:r>
    </w:p>
    <w:p w14:paraId="14D332CF" w14:textId="77777777" w:rsidR="007B4609" w:rsidRPr="007C60E6" w:rsidRDefault="007B4609" w:rsidP="007B4609">
      <w:pPr>
        <w:spacing w:after="0" w:line="240" w:lineRule="auto"/>
        <w:rPr>
          <w:rFonts w:eastAsia="Times New Roman" w:cs="Times New Roman"/>
          <w:b/>
          <w:bCs/>
          <w:color w:val="000000"/>
        </w:rPr>
      </w:pPr>
    </w:p>
    <w:p w14:paraId="0550E082" w14:textId="72DF4FB8"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 xml:space="preserve">Indicators: </w:t>
      </w:r>
    </w:p>
    <w:p w14:paraId="7EECC49A" w14:textId="09C0C328" w:rsidR="0095052B" w:rsidRPr="007C60E6" w:rsidRDefault="0095052B" w:rsidP="0095052B">
      <w:pPr>
        <w:spacing w:after="0" w:line="240" w:lineRule="auto"/>
        <w:rPr>
          <w:rFonts w:eastAsia="Times New Roman" w:cs="Times New Roman"/>
        </w:rPr>
      </w:pPr>
      <w:r>
        <w:rPr>
          <w:rFonts w:eastAsia="Times New Roman" w:cs="Times New Roman"/>
          <w:color w:val="000000"/>
        </w:rPr>
        <w:t>14.1.1</w:t>
      </w:r>
      <w:r>
        <w:rPr>
          <w:rFonts w:eastAsia="Times New Roman" w:cs="Times New Roman"/>
          <w:color w:val="000000"/>
        </w:rPr>
        <w:t>a</w:t>
      </w:r>
      <w:r>
        <w:rPr>
          <w:rFonts w:eastAsia="Times New Roman" w:cs="Times New Roman"/>
          <w:color w:val="000000"/>
        </w:rPr>
        <w:t xml:space="preserve"> </w:t>
      </w:r>
      <w:r>
        <w:rPr>
          <w:rFonts w:eastAsia="Times New Roman" w:cs="Times New Roman"/>
          <w:color w:val="000000"/>
        </w:rPr>
        <w:t>Index of c</w:t>
      </w:r>
      <w:r>
        <w:rPr>
          <w:rFonts w:eastAsia="Times New Roman" w:cs="Times New Roman"/>
          <w:color w:val="000000"/>
        </w:rPr>
        <w:t>oastal eutrophication</w:t>
      </w:r>
      <w:r>
        <w:rPr>
          <w:rFonts w:eastAsia="Times New Roman" w:cs="Times New Roman"/>
          <w:color w:val="000000"/>
        </w:rPr>
        <w:t xml:space="preserve"> (ICEP) (Proposed change: remove the word potential, as described in below)</w:t>
      </w:r>
    </w:p>
    <w:p w14:paraId="0AC17C46" w14:textId="4D5EBF96" w:rsidR="007B4609" w:rsidRDefault="0095052B" w:rsidP="007B4609">
      <w:pPr>
        <w:spacing w:after="0" w:line="240" w:lineRule="auto"/>
        <w:rPr>
          <w:rFonts w:eastAsia="Times New Roman" w:cs="Times New Roman"/>
          <w:color w:val="000000"/>
        </w:rPr>
      </w:pPr>
      <w:r>
        <w:rPr>
          <w:rFonts w:eastAsia="Times New Roman" w:cs="Times New Roman"/>
          <w:color w:val="000000"/>
        </w:rPr>
        <w:t>14.1.1b Plastic debris density (Proposed change: remove the word ‘floating’ as it is proposed to measure this on beaches, in the sea column and on the sea floor)</w:t>
      </w:r>
    </w:p>
    <w:p w14:paraId="46E8CB43" w14:textId="7E3F27C5" w:rsidR="001639F0" w:rsidRDefault="001639F0" w:rsidP="007B4609">
      <w:pPr>
        <w:spacing w:after="0" w:line="240" w:lineRule="auto"/>
        <w:rPr>
          <w:rFonts w:eastAsia="Times New Roman" w:cs="Times New Roman"/>
          <w:color w:val="000000"/>
        </w:rPr>
      </w:pPr>
      <w:r>
        <w:rPr>
          <w:rFonts w:eastAsia="Times New Roman" w:cs="Times New Roman"/>
          <w:color w:val="000000"/>
        </w:rPr>
        <w:t>14.2.1 (suggested wording)</w:t>
      </w:r>
    </w:p>
    <w:p w14:paraId="3BC940E1" w14:textId="77777777" w:rsidR="007B4609" w:rsidRPr="007C60E6" w:rsidRDefault="007B4609" w:rsidP="007B4609">
      <w:pPr>
        <w:spacing w:after="0" w:line="240" w:lineRule="auto"/>
        <w:rPr>
          <w:rFonts w:eastAsia="Times New Roman" w:cs="Times New Roman"/>
        </w:rPr>
      </w:pPr>
    </w:p>
    <w:p w14:paraId="32CABB1A" w14:textId="6C4D7C6C"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Background</w:t>
      </w:r>
    </w:p>
    <w:p w14:paraId="73AB1FB6" w14:textId="06EC794A" w:rsidR="00A04D6C" w:rsidRDefault="00A04D6C" w:rsidP="007B4609">
      <w:pPr>
        <w:spacing w:after="0" w:line="240" w:lineRule="auto"/>
        <w:rPr>
          <w:rFonts w:eastAsia="Times New Roman" w:cs="Times New Roman"/>
        </w:rPr>
      </w:pPr>
    </w:p>
    <w:p w14:paraId="38F5BC36" w14:textId="09A2B214" w:rsidR="00A04D6C" w:rsidRPr="00A04D6C" w:rsidRDefault="00A04D6C" w:rsidP="007B4609">
      <w:pPr>
        <w:spacing w:after="0" w:line="240" w:lineRule="auto"/>
        <w:rPr>
          <w:rFonts w:eastAsia="Times New Roman" w:cs="Times New Roman"/>
          <w:u w:val="single"/>
        </w:rPr>
      </w:pPr>
      <w:r w:rsidRPr="00A04D6C">
        <w:rPr>
          <w:rFonts w:eastAsia="Times New Roman" w:cs="Times New Roman"/>
          <w:u w:val="single"/>
        </w:rPr>
        <w:t>Process for developing the methodology:</w:t>
      </w:r>
    </w:p>
    <w:p w14:paraId="1C8204BE" w14:textId="77777777" w:rsidR="001639F0" w:rsidRDefault="0095052B" w:rsidP="00FF1A65">
      <w:pPr>
        <w:spacing w:after="0" w:line="240" w:lineRule="auto"/>
        <w:rPr>
          <w:rFonts w:eastAsia="Times New Roman" w:cs="Times New Roman"/>
          <w:color w:val="000000"/>
        </w:rPr>
      </w:pPr>
      <w:r>
        <w:rPr>
          <w:rFonts w:eastAsia="Times New Roman" w:cs="Times New Roman"/>
          <w:color w:val="000000"/>
        </w:rPr>
        <w:t>UN Environment, in partnership with UNEP-WCMC</w:t>
      </w:r>
      <w:r w:rsidR="00410B98">
        <w:rPr>
          <w:rFonts w:eastAsia="Times New Roman" w:cs="Times New Roman"/>
          <w:color w:val="000000"/>
        </w:rPr>
        <w:t xml:space="preserve"> and OIC-UNESCO</w:t>
      </w:r>
      <w:r>
        <w:rPr>
          <w:rFonts w:eastAsia="Times New Roman" w:cs="Times New Roman"/>
          <w:color w:val="000000"/>
        </w:rPr>
        <w:t>, conducted a broad literature review to understand the existing monitoring approaches for monitoring coastal eutrophication and marine litter</w:t>
      </w:r>
      <w:r w:rsidR="001639F0">
        <w:rPr>
          <w:rFonts w:eastAsia="Times New Roman" w:cs="Times New Roman"/>
          <w:color w:val="000000"/>
        </w:rPr>
        <w:t xml:space="preserve"> and ecosystem-based approaches for managing marine areas. This work was coupled with other existing work of UNEP to develop a proposal for these indicators. </w:t>
      </w:r>
    </w:p>
    <w:p w14:paraId="724F8D07" w14:textId="77777777" w:rsidR="001639F0" w:rsidRDefault="001639F0" w:rsidP="00FF1A65">
      <w:pPr>
        <w:spacing w:after="0" w:line="240" w:lineRule="auto"/>
        <w:rPr>
          <w:rFonts w:eastAsia="Times New Roman" w:cs="Times New Roman"/>
          <w:color w:val="000000"/>
        </w:rPr>
      </w:pPr>
    </w:p>
    <w:p w14:paraId="747BC3E2" w14:textId="42FCAB97" w:rsidR="001639F0" w:rsidRDefault="001639F0" w:rsidP="00FF1A65">
      <w:pPr>
        <w:spacing w:after="0" w:line="240" w:lineRule="auto"/>
        <w:rPr>
          <w:rFonts w:eastAsia="Times New Roman" w:cs="Times New Roman"/>
          <w:color w:val="000000"/>
        </w:rPr>
      </w:pPr>
      <w:r>
        <w:rPr>
          <w:rFonts w:eastAsia="Times New Roman" w:cs="Times New Roman"/>
          <w:color w:val="000000"/>
        </w:rPr>
        <w:t>The proposal aims to:</w:t>
      </w:r>
    </w:p>
    <w:p w14:paraId="12ED1BD1" w14:textId="42EDF276" w:rsidR="001639F0" w:rsidRDefault="001639F0"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 xml:space="preserve">Align with the existing monitoring plans and approaches of the Regional Seas </w:t>
      </w:r>
      <w:proofErr w:type="spellStart"/>
      <w:r>
        <w:rPr>
          <w:rFonts w:eastAsia="Times New Roman" w:cs="Times New Roman"/>
          <w:color w:val="000000"/>
        </w:rPr>
        <w:t>Programmes</w:t>
      </w:r>
      <w:proofErr w:type="spellEnd"/>
      <w:r>
        <w:rPr>
          <w:rFonts w:eastAsia="Times New Roman" w:cs="Times New Roman"/>
          <w:color w:val="000000"/>
        </w:rPr>
        <w:t xml:space="preserve"> and other intergovernmental fora, including</w:t>
      </w:r>
      <w:r>
        <w:rPr>
          <w:rFonts w:eastAsia="Times New Roman" w:cs="Times New Roman"/>
          <w:color w:val="000000"/>
        </w:rPr>
        <w:t xml:space="preserve">: the </w:t>
      </w:r>
      <w:r w:rsidRPr="0095052B">
        <w:rPr>
          <w:rFonts w:eastAsia="Times New Roman" w:cs="Times New Roman"/>
          <w:color w:val="000000"/>
        </w:rPr>
        <w:t xml:space="preserve">CPPS: Permanent Commission for the South Pacific (Southeast Pacific); EU MSFD: European Union Marine Strategy Framework Directive; EU WFD: European Union Water Framework Directive; GEF-TWAP: Global Environment Facility Transboundary Waters Assessment </w:t>
      </w:r>
      <w:proofErr w:type="spellStart"/>
      <w:r w:rsidRPr="0095052B">
        <w:rPr>
          <w:rFonts w:eastAsia="Times New Roman" w:cs="Times New Roman"/>
          <w:color w:val="000000"/>
        </w:rPr>
        <w:t>Programme</w:t>
      </w:r>
      <w:proofErr w:type="spellEnd"/>
      <w:r w:rsidRPr="0095052B">
        <w:rPr>
          <w:rFonts w:eastAsia="Times New Roman" w:cs="Times New Roman"/>
          <w:color w:val="000000"/>
        </w:rPr>
        <w:t>; HELCOM: Helsinki Commission (Baltic Sea); Nairobi Convention (Western Indian Ocean); NOAA: National Oceanic and Atmospheric Administration; NOWPAP: Northwest Pacific Action Plan (Northwest Pacific); OSPAR: Oslo-Paris Convention (Northeast Atlantic); ROMPE: Regional organization for the Protection of the Marine Environment (ROMPE sea area); UNEP-MAP: UN Environment Mediterranean Action Plan (Mediterranean Sea)).</w:t>
      </w:r>
      <w:r w:rsidR="00E1215B">
        <w:rPr>
          <w:rFonts w:eastAsia="Times New Roman" w:cs="Times New Roman"/>
          <w:color w:val="000000"/>
        </w:rPr>
        <w:t xml:space="preserve"> For more information on the Regional Seas see: </w:t>
      </w:r>
      <w:hyperlink r:id="rId7" w:history="1">
        <w:r w:rsidR="00E1215B" w:rsidRPr="0032744F">
          <w:rPr>
            <w:rStyle w:val="Hyperlink"/>
            <w:rFonts w:eastAsia="Times New Roman" w:cs="Times New Roman"/>
          </w:rPr>
          <w:t>https://www.unenvironment.org/explore-topics/oceans-seas/what-we-do/working-regional-seas</w:t>
        </w:r>
      </w:hyperlink>
      <w:r w:rsidR="00E1215B">
        <w:rPr>
          <w:rFonts w:eastAsia="Times New Roman" w:cs="Times New Roman"/>
          <w:color w:val="000000"/>
        </w:rPr>
        <w:t xml:space="preserve"> </w:t>
      </w:r>
    </w:p>
    <w:p w14:paraId="77C692E1" w14:textId="57E5A72D" w:rsidR="001639F0" w:rsidRDefault="001639F0"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Leverage decision and groups which are setting international standards on monitoring the 14.1.1 and 14.2.1.</w:t>
      </w:r>
    </w:p>
    <w:p w14:paraId="204B57DF" w14:textId="551BECBE" w:rsidR="001639F0" w:rsidRPr="001639F0" w:rsidRDefault="001639F0"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Provide a step-by-step guide to</w:t>
      </w:r>
      <w:r w:rsidR="003900C7">
        <w:rPr>
          <w:rFonts w:eastAsia="Times New Roman" w:cs="Times New Roman"/>
          <w:color w:val="000000"/>
        </w:rPr>
        <w:t xml:space="preserve"> progressively monitoring, including level 1: what we can monitor globally; level 2: national level monitoring using the Regional Seas reporting mechanisms when possible; level 3: national indicators which are recommended for countries when relevant.</w:t>
      </w:r>
    </w:p>
    <w:p w14:paraId="7CAA106F" w14:textId="77777777" w:rsidR="001639F0" w:rsidRDefault="001639F0" w:rsidP="00FF1A65">
      <w:pPr>
        <w:spacing w:after="0" w:line="240" w:lineRule="auto"/>
        <w:rPr>
          <w:rFonts w:eastAsia="Times New Roman" w:cs="Times New Roman"/>
          <w:color w:val="000000"/>
        </w:rPr>
      </w:pPr>
    </w:p>
    <w:p w14:paraId="629967F9" w14:textId="58091404" w:rsidR="00F5320A" w:rsidRPr="00A04D6C" w:rsidRDefault="00E1215B" w:rsidP="00F5320A">
      <w:pPr>
        <w:spacing w:after="0" w:line="240" w:lineRule="auto"/>
        <w:rPr>
          <w:rFonts w:eastAsia="Times New Roman" w:cs="Times New Roman"/>
          <w:u w:val="single"/>
        </w:rPr>
      </w:pPr>
      <w:r>
        <w:rPr>
          <w:rFonts w:eastAsia="Times New Roman" w:cs="Times New Roman"/>
          <w:u w:val="single"/>
        </w:rPr>
        <w:t>International expert groups and linkages with existing global groups</w:t>
      </w:r>
      <w:r w:rsidR="00F5320A" w:rsidRPr="00A04D6C">
        <w:rPr>
          <w:rFonts w:eastAsia="Times New Roman" w:cs="Times New Roman"/>
          <w:u w:val="single"/>
        </w:rPr>
        <w:t>:</w:t>
      </w:r>
    </w:p>
    <w:p w14:paraId="0EC6F7CF" w14:textId="1ADF4209" w:rsidR="00410B98" w:rsidRDefault="00410B98" w:rsidP="00FF1A65">
      <w:pPr>
        <w:spacing w:after="0" w:line="240" w:lineRule="auto"/>
        <w:rPr>
          <w:rFonts w:eastAsia="Times New Roman" w:cs="Times New Roman"/>
          <w:color w:val="000000"/>
        </w:rPr>
      </w:pPr>
      <w:r>
        <w:rPr>
          <w:rFonts w:eastAsia="Times New Roman" w:cs="Times New Roman"/>
          <w:color w:val="000000"/>
        </w:rPr>
        <w:t>In order to conduct the review, UNEP and UNE</w:t>
      </w:r>
      <w:r w:rsidR="00F5320A">
        <w:rPr>
          <w:rFonts w:eastAsia="Times New Roman" w:cs="Times New Roman"/>
          <w:color w:val="000000"/>
        </w:rPr>
        <w:t>P</w:t>
      </w:r>
      <w:r>
        <w:rPr>
          <w:rFonts w:eastAsia="Times New Roman" w:cs="Times New Roman"/>
          <w:color w:val="000000"/>
        </w:rPr>
        <w:t>-WCMC conducted a literature review and reached out to key partners, including the Regional Seas, through surveys</w:t>
      </w:r>
      <w:r w:rsidR="00F5320A">
        <w:rPr>
          <w:rFonts w:eastAsia="Times New Roman" w:cs="Times New Roman"/>
          <w:color w:val="000000"/>
        </w:rPr>
        <w:t xml:space="preserve"> to understand monitoring practices. A few of the key initiatives included the:</w:t>
      </w:r>
    </w:p>
    <w:p w14:paraId="33F8F20E" w14:textId="72017692" w:rsidR="00E1215B" w:rsidRDefault="00E1215B" w:rsidP="00E1215B">
      <w:pPr>
        <w:pStyle w:val="ListParagraph"/>
        <w:numPr>
          <w:ilvl w:val="0"/>
          <w:numId w:val="17"/>
        </w:numPr>
        <w:spacing w:after="0" w:line="240" w:lineRule="auto"/>
        <w:rPr>
          <w:rFonts w:eastAsia="Times New Roman" w:cs="Times New Roman"/>
          <w:color w:val="000000"/>
        </w:rPr>
      </w:pPr>
      <w:r>
        <w:rPr>
          <w:rFonts w:eastAsia="Times New Roman" w:cs="Times New Roman"/>
          <w:color w:val="000000"/>
        </w:rPr>
        <w:t>The Joint Group of Experts on the Scientific Aspects of Marine Environmental Protection is a collective effort of IMO, FAO, UNESCO, IOC, WMO, UNIDO, IAEA, UN DESA, UNEP, UNDP and ISA. The working group is made up of global experts from countries and the academic community around the world. The group has provided guidance on monitoring and suggesting experts to be involved in the work on SDG 14.1.1 and SDG 14.2.1.</w:t>
      </w:r>
      <w:r>
        <w:rPr>
          <w:rFonts w:eastAsia="Times New Roman" w:cs="Times New Roman"/>
          <w:color w:val="000000"/>
        </w:rPr>
        <w:t xml:space="preserve"> (</w:t>
      </w:r>
      <w:hyperlink r:id="rId8" w:history="1">
        <w:r w:rsidRPr="0032744F">
          <w:rPr>
            <w:rStyle w:val="Hyperlink"/>
            <w:rFonts w:eastAsia="Times New Roman" w:cs="Times New Roman"/>
          </w:rPr>
          <w:t>http://www.gesamp.org/</w:t>
        </w:r>
      </w:hyperlink>
      <w:r>
        <w:rPr>
          <w:rFonts w:eastAsia="Times New Roman" w:cs="Times New Roman"/>
          <w:color w:val="000000"/>
        </w:rPr>
        <w:t xml:space="preserve">) </w:t>
      </w:r>
    </w:p>
    <w:p w14:paraId="30A05F80" w14:textId="34ADDAA8" w:rsidR="00E1215B" w:rsidRDefault="00E1215B" w:rsidP="00E1215B">
      <w:pPr>
        <w:pStyle w:val="ListParagraph"/>
        <w:numPr>
          <w:ilvl w:val="0"/>
          <w:numId w:val="17"/>
        </w:numPr>
        <w:spacing w:after="0" w:line="240" w:lineRule="auto"/>
        <w:rPr>
          <w:rFonts w:eastAsia="Times New Roman" w:cs="Times New Roman"/>
          <w:color w:val="000000"/>
        </w:rPr>
      </w:pPr>
      <w:r>
        <w:rPr>
          <w:rFonts w:eastAsia="Times New Roman" w:cs="Times New Roman"/>
          <w:color w:val="000000"/>
        </w:rPr>
        <w:t xml:space="preserve">An expert group and Community of Practice (CoP) was established by UNEP. The CoP is an online group. The expert group included two meetings, the first covered all indicators under 14.1.1 and </w:t>
      </w:r>
      <w:r>
        <w:rPr>
          <w:rFonts w:eastAsia="Times New Roman" w:cs="Times New Roman"/>
          <w:color w:val="000000"/>
        </w:rPr>
        <w:lastRenderedPageBreak/>
        <w:t>14.2.1 and provided a path for fleshing out the indicators (</w:t>
      </w:r>
      <w:hyperlink r:id="rId9" w:history="1">
        <w:r w:rsidRPr="0032744F">
          <w:rPr>
            <w:rStyle w:val="Hyperlink"/>
            <w:rFonts w:eastAsia="Times New Roman" w:cs="Times New Roman"/>
          </w:rPr>
          <w:t>https://uneplive.unep.org/egm/pariseutrophication</w:t>
        </w:r>
      </w:hyperlink>
      <w:r>
        <w:rPr>
          <w:rFonts w:eastAsia="Times New Roman" w:cs="Times New Roman"/>
          <w:color w:val="000000"/>
        </w:rPr>
        <w:t>) and the second focused on plastics (</w:t>
      </w:r>
      <w:hyperlink r:id="rId10" w:history="1">
        <w:r w:rsidRPr="0032744F">
          <w:rPr>
            <w:rStyle w:val="Hyperlink"/>
            <w:rFonts w:eastAsia="Times New Roman" w:cs="Times New Roman"/>
          </w:rPr>
          <w:t>https://uneplive.unep.org/egm/kenyamarinelitter</w:t>
        </w:r>
      </w:hyperlink>
    </w:p>
    <w:p w14:paraId="6E650641" w14:textId="0DEA25C0" w:rsidR="00E1215B" w:rsidRDefault="00E1215B" w:rsidP="00E1215B">
      <w:pPr>
        <w:spacing w:after="0" w:line="240" w:lineRule="auto"/>
        <w:rPr>
          <w:rFonts w:eastAsia="Times New Roman" w:cs="Times New Roman"/>
          <w:color w:val="000000"/>
        </w:rPr>
      </w:pPr>
    </w:p>
    <w:p w14:paraId="06922141" w14:textId="77777777" w:rsidR="00E1215B" w:rsidRPr="00A04D6C" w:rsidRDefault="00E1215B" w:rsidP="00E1215B">
      <w:pPr>
        <w:spacing w:after="0" w:line="240" w:lineRule="auto"/>
        <w:rPr>
          <w:rFonts w:eastAsia="Times New Roman" w:cs="Times New Roman"/>
          <w:u w:val="single"/>
        </w:rPr>
      </w:pPr>
      <w:r>
        <w:rPr>
          <w:rFonts w:eastAsia="Times New Roman" w:cs="Times New Roman"/>
          <w:u w:val="single"/>
        </w:rPr>
        <w:t>Regional Seas Monitoring</w:t>
      </w:r>
      <w:r w:rsidRPr="00A04D6C">
        <w:rPr>
          <w:rFonts w:eastAsia="Times New Roman" w:cs="Times New Roman"/>
          <w:u w:val="single"/>
        </w:rPr>
        <w:t>:</w:t>
      </w:r>
    </w:p>
    <w:p w14:paraId="2F127176" w14:textId="77777777" w:rsidR="00E1215B" w:rsidRDefault="00E1215B" w:rsidP="00E1215B">
      <w:pPr>
        <w:spacing w:after="0" w:line="240" w:lineRule="auto"/>
        <w:rPr>
          <w:rFonts w:eastAsia="Times New Roman" w:cs="Times New Roman"/>
          <w:color w:val="000000"/>
        </w:rPr>
      </w:pPr>
      <w:r>
        <w:rPr>
          <w:rFonts w:eastAsia="Times New Roman" w:cs="Times New Roman"/>
          <w:color w:val="000000"/>
        </w:rPr>
        <w:t xml:space="preserve">A review of existing UNEP initiatives on methodologies, existing monitoring procedures which are used by the Regional Seas </w:t>
      </w:r>
      <w:proofErr w:type="spellStart"/>
      <w:r>
        <w:rPr>
          <w:rFonts w:eastAsia="Times New Roman" w:cs="Times New Roman"/>
          <w:color w:val="000000"/>
        </w:rPr>
        <w:t>Programmes</w:t>
      </w:r>
      <w:proofErr w:type="spellEnd"/>
      <w:r>
        <w:rPr>
          <w:rFonts w:eastAsia="Times New Roman" w:cs="Times New Roman"/>
          <w:color w:val="000000"/>
        </w:rPr>
        <w:t xml:space="preserve">. This is included in the </w:t>
      </w:r>
      <w:proofErr w:type="gramStart"/>
      <w:r>
        <w:rPr>
          <w:rFonts w:eastAsia="Times New Roman" w:cs="Times New Roman"/>
          <w:color w:val="000000"/>
        </w:rPr>
        <w:t>Appendix  in</w:t>
      </w:r>
      <w:proofErr w:type="gramEnd"/>
      <w:r>
        <w:rPr>
          <w:rFonts w:eastAsia="Times New Roman" w:cs="Times New Roman"/>
          <w:color w:val="000000"/>
        </w:rPr>
        <w:t xml:space="preserve"> the attached methodological document. In summary, the Regional Seas </w:t>
      </w:r>
      <w:proofErr w:type="spellStart"/>
      <w:r>
        <w:rPr>
          <w:rFonts w:eastAsia="Times New Roman" w:cs="Times New Roman"/>
          <w:color w:val="000000"/>
        </w:rPr>
        <w:t>Programmes</w:t>
      </w:r>
      <w:proofErr w:type="spellEnd"/>
      <w:r>
        <w:rPr>
          <w:rFonts w:eastAsia="Times New Roman" w:cs="Times New Roman"/>
          <w:color w:val="000000"/>
        </w:rPr>
        <w:t xml:space="preserve"> have collectively agreed to monitor 22 core indicators. The indicators which are directly relevant for the 14.1.1 and 14.2.1 include:</w:t>
      </w:r>
    </w:p>
    <w:p w14:paraId="71979434" w14:textId="77777777" w:rsidR="00E1215B" w:rsidRDefault="00E1215B" w:rsidP="00E1215B">
      <w:pPr>
        <w:pStyle w:val="ListParagraph"/>
        <w:numPr>
          <w:ilvl w:val="0"/>
          <w:numId w:val="16"/>
        </w:numPr>
        <w:spacing w:after="0" w:line="240" w:lineRule="auto"/>
        <w:rPr>
          <w:rFonts w:eastAsia="Times New Roman" w:cs="Times New Roman"/>
          <w:color w:val="000000"/>
        </w:rPr>
      </w:pPr>
      <w:r>
        <w:rPr>
          <w:rFonts w:eastAsia="Times New Roman" w:cs="Times New Roman"/>
          <w:color w:val="000000"/>
        </w:rPr>
        <w:t>Chlorophyll-A concentration (relevant for 14.1.1a)</w:t>
      </w:r>
    </w:p>
    <w:p w14:paraId="5F1D9503" w14:textId="77777777" w:rsidR="00E1215B" w:rsidRDefault="00E1215B" w:rsidP="00E1215B">
      <w:pPr>
        <w:pStyle w:val="ListParagraph"/>
        <w:numPr>
          <w:ilvl w:val="0"/>
          <w:numId w:val="16"/>
        </w:numPr>
        <w:spacing w:after="0" w:line="240" w:lineRule="auto"/>
        <w:rPr>
          <w:rFonts w:eastAsia="Times New Roman" w:cs="Times New Roman"/>
          <w:color w:val="000000"/>
        </w:rPr>
      </w:pPr>
      <w:r>
        <w:rPr>
          <w:rFonts w:eastAsia="Times New Roman" w:cs="Times New Roman"/>
          <w:color w:val="000000"/>
        </w:rPr>
        <w:t>Inputs of marine chemical pollution (relevant for 14.1.1a)</w:t>
      </w:r>
    </w:p>
    <w:p w14:paraId="0CEA7354" w14:textId="77777777" w:rsidR="00E1215B" w:rsidRDefault="00E1215B" w:rsidP="00E1215B">
      <w:pPr>
        <w:pStyle w:val="ListParagraph"/>
        <w:numPr>
          <w:ilvl w:val="0"/>
          <w:numId w:val="16"/>
        </w:numPr>
        <w:spacing w:after="0" w:line="240" w:lineRule="auto"/>
        <w:rPr>
          <w:rFonts w:eastAsia="Times New Roman" w:cs="Times New Roman"/>
          <w:color w:val="000000"/>
        </w:rPr>
      </w:pPr>
      <w:r>
        <w:rPr>
          <w:rFonts w:eastAsia="Times New Roman" w:cs="Times New Roman"/>
          <w:color w:val="000000"/>
        </w:rPr>
        <w:t>Quantification of beach litter (relevant for 14.1.1b)</w:t>
      </w:r>
    </w:p>
    <w:p w14:paraId="19570BD3" w14:textId="77777777" w:rsidR="00E1215B" w:rsidRDefault="00E1215B" w:rsidP="00E1215B">
      <w:pPr>
        <w:spacing w:after="0" w:line="240" w:lineRule="auto"/>
        <w:ind w:left="360"/>
        <w:rPr>
          <w:rFonts w:eastAsia="Times New Roman" w:cs="Times New Roman"/>
          <w:color w:val="000000"/>
        </w:rPr>
      </w:pPr>
      <w:r>
        <w:rPr>
          <w:rFonts w:eastAsia="Times New Roman" w:cs="Times New Roman"/>
          <w:color w:val="000000"/>
        </w:rPr>
        <w:t xml:space="preserve">9. </w:t>
      </w:r>
      <w:r>
        <w:rPr>
          <w:rFonts w:eastAsia="Times New Roman" w:cs="Times New Roman"/>
          <w:color w:val="000000"/>
        </w:rPr>
        <w:tab/>
        <w:t>Frequency of algal blooms (relevant for 14.1.1a)</w:t>
      </w:r>
    </w:p>
    <w:p w14:paraId="3B6D5ADF" w14:textId="77777777" w:rsidR="00E1215B" w:rsidRDefault="00E1215B" w:rsidP="00E1215B">
      <w:pPr>
        <w:spacing w:after="0" w:line="240" w:lineRule="auto"/>
        <w:ind w:left="360"/>
        <w:rPr>
          <w:rFonts w:eastAsia="Times New Roman" w:cs="Times New Roman"/>
          <w:color w:val="000000"/>
        </w:rPr>
      </w:pPr>
      <w:r>
        <w:rPr>
          <w:rFonts w:eastAsia="Times New Roman" w:cs="Times New Roman"/>
          <w:color w:val="000000"/>
        </w:rPr>
        <w:t>10. Concentration of pollutants by type, including plastics (relevant for 14.1.1b)</w:t>
      </w:r>
    </w:p>
    <w:p w14:paraId="6D43DFD8" w14:textId="77777777" w:rsidR="00E1215B" w:rsidRDefault="00E1215B" w:rsidP="00E1215B">
      <w:pPr>
        <w:spacing w:after="0" w:line="240" w:lineRule="auto"/>
        <w:ind w:left="360"/>
        <w:rPr>
          <w:rFonts w:eastAsia="Times New Roman" w:cs="Times New Roman"/>
          <w:color w:val="000000"/>
        </w:rPr>
      </w:pPr>
      <w:r>
        <w:rPr>
          <w:rFonts w:eastAsia="Times New Roman" w:cs="Times New Roman"/>
          <w:color w:val="000000"/>
        </w:rPr>
        <w:t>22. National Intercoastal Zone Management (ICZM) in place (relevant for 14.2.1)</w:t>
      </w:r>
    </w:p>
    <w:p w14:paraId="6AB6EC3F" w14:textId="5FEF6292" w:rsidR="00E1215B" w:rsidRDefault="00E1215B" w:rsidP="00E1215B">
      <w:pPr>
        <w:spacing w:after="0" w:line="240" w:lineRule="auto"/>
        <w:rPr>
          <w:rFonts w:eastAsia="Times New Roman" w:cs="Times New Roman"/>
          <w:color w:val="000000"/>
        </w:rPr>
      </w:pPr>
    </w:p>
    <w:p w14:paraId="7DA553AD" w14:textId="43A8DB0E" w:rsidR="00E1215B" w:rsidRDefault="00E1215B" w:rsidP="00E1215B">
      <w:pPr>
        <w:spacing w:after="0" w:line="240" w:lineRule="auto"/>
        <w:rPr>
          <w:rFonts w:eastAsia="Times New Roman" w:cs="Times New Roman"/>
          <w:color w:val="000000"/>
        </w:rPr>
      </w:pPr>
      <w:r>
        <w:rPr>
          <w:rFonts w:eastAsia="Times New Roman" w:cs="Times New Roman"/>
          <w:color w:val="000000"/>
        </w:rPr>
        <w:t xml:space="preserve">In order to promote the use of the Regional Seas as part of the follow-up and review mechanism for the Regional Seas, UNEP drafted  report on how Regional Seas data could be directly used for the SDGs (see </w:t>
      </w:r>
      <w:hyperlink r:id="rId11" w:history="1">
        <w:r w:rsidRPr="0032744F">
          <w:rPr>
            <w:rStyle w:val="Hyperlink"/>
            <w:rFonts w:eastAsia="Times New Roman" w:cs="Times New Roman"/>
          </w:rPr>
          <w:t>https://wedocs.unep.org/bitstream/handle/20.500.11822/27295/ocean_SDG.pdf?sequence=1&amp;isAllowed=y</w:t>
        </w:r>
      </w:hyperlink>
      <w:r>
        <w:rPr>
          <w:rFonts w:eastAsia="Times New Roman" w:cs="Times New Roman"/>
          <w:color w:val="000000"/>
        </w:rPr>
        <w:t>). UNEP has been discussing data sharing mechanisms with the various regional seas</w:t>
      </w:r>
      <w:r w:rsidR="00824C96">
        <w:rPr>
          <w:rFonts w:eastAsia="Times New Roman" w:cs="Times New Roman"/>
          <w:color w:val="000000"/>
        </w:rPr>
        <w:t>. Not all regional seas currently have data which can be used for reporting (this is presented in Appendix 1 of the attached manual).</w:t>
      </w:r>
    </w:p>
    <w:p w14:paraId="3FE89016" w14:textId="57EC7A53" w:rsidR="00C64A9B" w:rsidRDefault="00C64A9B" w:rsidP="00E1215B">
      <w:pPr>
        <w:spacing w:after="0" w:line="240" w:lineRule="auto"/>
        <w:rPr>
          <w:rFonts w:eastAsia="Times New Roman" w:cs="Times New Roman"/>
          <w:color w:val="000000"/>
        </w:rPr>
      </w:pPr>
    </w:p>
    <w:p w14:paraId="261DB64B" w14:textId="1583C6C3" w:rsidR="00C64A9B" w:rsidRPr="00E1215B" w:rsidRDefault="00C64A9B" w:rsidP="00E1215B">
      <w:pPr>
        <w:spacing w:after="0" w:line="240" w:lineRule="auto"/>
        <w:rPr>
          <w:rFonts w:eastAsia="Times New Roman" w:cs="Times New Roman"/>
          <w:color w:val="000000"/>
        </w:rPr>
      </w:pPr>
      <w:r>
        <w:rPr>
          <w:rFonts w:eastAsia="Times New Roman" w:cs="Times New Roman"/>
          <w:color w:val="000000"/>
        </w:rPr>
        <w:t xml:space="preserve">Note that countries have an obligation to report for the regional multi-laterally agreed Regional Seas </w:t>
      </w:r>
      <w:proofErr w:type="spellStart"/>
      <w:r>
        <w:rPr>
          <w:rFonts w:eastAsia="Times New Roman" w:cs="Times New Roman"/>
          <w:color w:val="000000"/>
        </w:rPr>
        <w:t>Programme</w:t>
      </w:r>
      <w:proofErr w:type="spellEnd"/>
      <w:r>
        <w:rPr>
          <w:rFonts w:eastAsia="Times New Roman" w:cs="Times New Roman"/>
          <w:color w:val="000000"/>
        </w:rPr>
        <w:t xml:space="preserve"> core indicators. </w:t>
      </w:r>
      <w:bookmarkStart w:id="0" w:name="_GoBack"/>
      <w:bookmarkEnd w:id="0"/>
    </w:p>
    <w:p w14:paraId="01F520D3" w14:textId="77777777" w:rsidR="00E1215B" w:rsidRDefault="00E1215B" w:rsidP="00FF1A65">
      <w:pPr>
        <w:spacing w:after="0" w:line="240" w:lineRule="auto"/>
        <w:rPr>
          <w:rFonts w:eastAsia="Times New Roman" w:cs="Times New Roman"/>
          <w:color w:val="000000"/>
        </w:rPr>
      </w:pPr>
    </w:p>
    <w:p w14:paraId="148BF75A" w14:textId="3F93E43B" w:rsidR="00E1215B" w:rsidRDefault="00E1215B" w:rsidP="00FF1A65">
      <w:pPr>
        <w:spacing w:after="0" w:line="240" w:lineRule="auto"/>
        <w:rPr>
          <w:rFonts w:eastAsia="Times New Roman" w:cs="Times New Roman"/>
          <w:i/>
          <w:iCs/>
          <w:color w:val="000000"/>
          <w:u w:val="single"/>
        </w:rPr>
      </w:pPr>
      <w:r>
        <w:rPr>
          <w:rFonts w:eastAsia="Times New Roman" w:cs="Times New Roman"/>
          <w:i/>
          <w:iCs/>
          <w:color w:val="000000"/>
          <w:u w:val="single"/>
        </w:rPr>
        <w:t>Eutrophication, 14.1.1a:</w:t>
      </w:r>
    </w:p>
    <w:p w14:paraId="0591D08E" w14:textId="26484AEC" w:rsidR="00824C96" w:rsidRPr="00824C96" w:rsidRDefault="00824C96" w:rsidP="00076D09">
      <w:pPr>
        <w:pStyle w:val="ListParagraph"/>
        <w:numPr>
          <w:ilvl w:val="0"/>
          <w:numId w:val="17"/>
        </w:numPr>
        <w:spacing w:after="0" w:line="240" w:lineRule="auto"/>
        <w:rPr>
          <w:rFonts w:eastAsia="Times New Roman" w:cs="Times New Roman"/>
          <w:color w:val="000000"/>
          <w:u w:val="single"/>
        </w:rPr>
      </w:pPr>
      <w:r w:rsidRPr="00824C96">
        <w:rPr>
          <w:rFonts w:eastAsia="Times New Roman" w:cs="Times New Roman"/>
          <w:color w:val="000000"/>
        </w:rPr>
        <w:t xml:space="preserve">UNEP is the Secretariat for the </w:t>
      </w:r>
      <w:r w:rsidRPr="00824C96">
        <w:rPr>
          <w:rFonts w:eastAsia="Times New Roman" w:cs="Times New Roman"/>
          <w:color w:val="000000"/>
        </w:rPr>
        <w:t xml:space="preserve">Global Partnership on Nutrient Management (GPNM).  </w:t>
      </w:r>
      <w:r w:rsidRPr="00824C96">
        <w:rPr>
          <w:rFonts w:eastAsia="Times New Roman" w:cs="Times New Roman"/>
          <w:color w:val="000000"/>
        </w:rPr>
        <w:t>The GPNM has been exploring ways to better monitor and manage nutrient pollution in the terrestrial and marine environment. This directly links to a UN Environment Resolution on Nitrogen Management and is informed by a group of International Nitrogen Management System (INMS) experts.</w:t>
      </w:r>
      <w:r>
        <w:rPr>
          <w:rFonts w:eastAsia="Times New Roman" w:cs="Times New Roman"/>
          <w:color w:val="000000"/>
        </w:rPr>
        <w:t xml:space="preserve"> </w:t>
      </w:r>
      <w:r w:rsidRPr="00824C96">
        <w:rPr>
          <w:rFonts w:eastAsia="Times New Roman" w:cs="Times New Roman"/>
          <w:color w:val="000000"/>
        </w:rPr>
        <w:t xml:space="preserve">The development of the index on coastal eutrophication has been developed under guidance of this group. </w:t>
      </w:r>
    </w:p>
    <w:p w14:paraId="74685184" w14:textId="362A3158" w:rsidR="00824C96" w:rsidRPr="00824C96" w:rsidRDefault="00824C96" w:rsidP="00824C96">
      <w:pPr>
        <w:pStyle w:val="ListParagraph"/>
        <w:numPr>
          <w:ilvl w:val="0"/>
          <w:numId w:val="17"/>
        </w:numPr>
        <w:spacing w:after="0" w:line="240" w:lineRule="auto"/>
        <w:rPr>
          <w:rFonts w:eastAsia="Times New Roman" w:cs="Times New Roman"/>
          <w:color w:val="000000"/>
          <w:u w:val="single"/>
        </w:rPr>
      </w:pPr>
      <w:r>
        <w:rPr>
          <w:rFonts w:eastAsia="Times New Roman" w:cs="Times New Roman"/>
          <w:color w:val="000000"/>
        </w:rPr>
        <w:t xml:space="preserve">UNEP has formed a global partnership with GEO </w:t>
      </w:r>
      <w:proofErr w:type="spellStart"/>
      <w:r>
        <w:rPr>
          <w:rFonts w:eastAsia="Times New Roman" w:cs="Times New Roman"/>
          <w:color w:val="000000"/>
        </w:rPr>
        <w:t>BluePlanet</w:t>
      </w:r>
      <w:proofErr w:type="spellEnd"/>
      <w:r>
        <w:rPr>
          <w:rFonts w:eastAsia="Times New Roman" w:cs="Times New Roman"/>
          <w:color w:val="000000"/>
        </w:rPr>
        <w:t xml:space="preserve"> to operationalize a global product on chlorophyll-a concentrations which aligns with the Regional Seas indicator 1. This has been presented at the Global Ocean Observation Conference in September 2020 and reviewed by experts.</w:t>
      </w:r>
    </w:p>
    <w:p w14:paraId="70F893E2" w14:textId="77777777" w:rsidR="00E1215B" w:rsidRPr="00E1215B" w:rsidRDefault="00E1215B" w:rsidP="00FF1A65">
      <w:pPr>
        <w:spacing w:after="0" w:line="240" w:lineRule="auto"/>
        <w:rPr>
          <w:rFonts w:eastAsia="Times New Roman" w:cs="Times New Roman"/>
          <w:i/>
          <w:iCs/>
          <w:color w:val="000000"/>
          <w:u w:val="single"/>
        </w:rPr>
      </w:pPr>
    </w:p>
    <w:p w14:paraId="6597004E" w14:textId="39F4584C" w:rsidR="00F5320A" w:rsidRPr="00E1215B" w:rsidRDefault="00F5320A" w:rsidP="00FF1A65">
      <w:pPr>
        <w:spacing w:after="0" w:line="240" w:lineRule="auto"/>
        <w:rPr>
          <w:rFonts w:eastAsia="Times New Roman" w:cs="Times New Roman"/>
          <w:i/>
          <w:iCs/>
          <w:color w:val="000000"/>
          <w:u w:val="single"/>
        </w:rPr>
      </w:pPr>
      <w:r w:rsidRPr="00E1215B">
        <w:rPr>
          <w:rFonts w:eastAsia="Times New Roman" w:cs="Times New Roman"/>
          <w:i/>
          <w:iCs/>
          <w:color w:val="000000"/>
          <w:u w:val="single"/>
        </w:rPr>
        <w:t>Plastics</w:t>
      </w:r>
      <w:r w:rsidR="00E1215B">
        <w:rPr>
          <w:rFonts w:eastAsia="Times New Roman" w:cs="Times New Roman"/>
          <w:i/>
          <w:iCs/>
          <w:color w:val="000000"/>
          <w:u w:val="single"/>
        </w:rPr>
        <w:t>, 14.1.1b</w:t>
      </w:r>
    </w:p>
    <w:p w14:paraId="11790E8B" w14:textId="26453169" w:rsidR="00F5320A" w:rsidRPr="00F5320A" w:rsidRDefault="00F5320A" w:rsidP="00F5320A">
      <w:pPr>
        <w:pStyle w:val="ListParagraph"/>
        <w:numPr>
          <w:ilvl w:val="0"/>
          <w:numId w:val="17"/>
        </w:numPr>
        <w:spacing w:after="0" w:line="240" w:lineRule="auto"/>
        <w:rPr>
          <w:rFonts w:eastAsia="Times New Roman" w:cs="Times New Roman"/>
          <w:i/>
          <w:iCs/>
          <w:color w:val="000000"/>
        </w:rPr>
      </w:pPr>
      <w:r>
        <w:rPr>
          <w:rFonts w:eastAsia="Times New Roman" w:cs="Times New Roman"/>
          <w:color w:val="000000"/>
        </w:rPr>
        <w:t xml:space="preserve">Under GESAMP, a </w:t>
      </w:r>
      <w:proofErr w:type="gramStart"/>
      <w:r>
        <w:rPr>
          <w:rFonts w:eastAsia="Times New Roman" w:cs="Times New Roman"/>
          <w:color w:val="000000"/>
        </w:rPr>
        <w:t>global standards</w:t>
      </w:r>
      <w:proofErr w:type="gramEnd"/>
      <w:r>
        <w:rPr>
          <w:rFonts w:eastAsia="Times New Roman" w:cs="Times New Roman"/>
          <w:color w:val="000000"/>
        </w:rPr>
        <w:t xml:space="preserve">, entitled, </w:t>
      </w:r>
      <w:r w:rsidRPr="00F5320A">
        <w:rPr>
          <w:rFonts w:eastAsia="Times New Roman" w:cs="Times New Roman"/>
          <w:i/>
          <w:iCs/>
          <w:color w:val="000000"/>
        </w:rPr>
        <w:t>Guidelines for the Monitoring and Assessment of Plastic Litter in the Ocean</w:t>
      </w:r>
      <w:r>
        <w:rPr>
          <w:rFonts w:eastAsia="Times New Roman" w:cs="Times New Roman"/>
          <w:i/>
          <w:iCs/>
          <w:color w:val="000000"/>
        </w:rPr>
        <w:t xml:space="preserve">, </w:t>
      </w:r>
      <w:r>
        <w:rPr>
          <w:rFonts w:eastAsia="Times New Roman" w:cs="Times New Roman"/>
          <w:color w:val="000000"/>
        </w:rPr>
        <w:t>was developed and adopted. This publication was launched in March 2019 and provides the backbone for the proposed approach on SDG 14.1.1b.</w:t>
      </w:r>
      <w:r w:rsidR="00E1215B">
        <w:rPr>
          <w:rFonts w:eastAsia="Times New Roman" w:cs="Times New Roman"/>
          <w:color w:val="000000"/>
        </w:rPr>
        <w:t xml:space="preserve"> This method is proposed for monitoring by the Regional Seas. </w:t>
      </w:r>
    </w:p>
    <w:p w14:paraId="274DECB8" w14:textId="77777777" w:rsidR="00824C96" w:rsidRPr="00824C96" w:rsidRDefault="00824C96" w:rsidP="00F5320A">
      <w:pPr>
        <w:pStyle w:val="ListParagraph"/>
        <w:numPr>
          <w:ilvl w:val="0"/>
          <w:numId w:val="17"/>
        </w:numPr>
        <w:spacing w:after="0" w:line="240" w:lineRule="auto"/>
        <w:rPr>
          <w:rFonts w:eastAsia="Times New Roman" w:cs="Times New Roman"/>
          <w:i/>
          <w:iCs/>
          <w:color w:val="000000"/>
        </w:rPr>
      </w:pPr>
      <w:r>
        <w:rPr>
          <w:rFonts w:eastAsia="Times New Roman" w:cs="Times New Roman"/>
          <w:color w:val="000000"/>
        </w:rPr>
        <w:t xml:space="preserve">Additionally, UNEP has recently established a high-level Ad Hoc and </w:t>
      </w:r>
      <w:proofErr w:type="gramStart"/>
      <w:r>
        <w:rPr>
          <w:rFonts w:eastAsia="Times New Roman" w:cs="Times New Roman"/>
          <w:color w:val="000000"/>
        </w:rPr>
        <w:t>Open Ended</w:t>
      </w:r>
      <w:proofErr w:type="gramEnd"/>
      <w:r>
        <w:rPr>
          <w:rFonts w:eastAsia="Times New Roman" w:cs="Times New Roman"/>
          <w:color w:val="000000"/>
        </w:rPr>
        <w:t xml:space="preserve"> Expert Group on Marine Litter and Microplastics. The approach for monitoring SDG 14.1.1b has been aligned with this working group and with the Regional Seas.</w:t>
      </w:r>
    </w:p>
    <w:p w14:paraId="1B8FFA87" w14:textId="77777777" w:rsidR="00824C96" w:rsidRDefault="00824C96" w:rsidP="00824C96">
      <w:pPr>
        <w:spacing w:after="0" w:line="240" w:lineRule="auto"/>
        <w:rPr>
          <w:rFonts w:eastAsia="Times New Roman" w:cs="Times New Roman"/>
          <w:color w:val="000000"/>
        </w:rPr>
      </w:pPr>
    </w:p>
    <w:p w14:paraId="6E129E0D" w14:textId="77777777" w:rsidR="00F51BF7" w:rsidRDefault="00F51BF7" w:rsidP="00824C96">
      <w:pPr>
        <w:spacing w:after="0" w:line="240" w:lineRule="auto"/>
        <w:rPr>
          <w:rFonts w:eastAsia="Times New Roman" w:cs="Times New Roman"/>
          <w:i/>
          <w:iCs/>
          <w:color w:val="000000"/>
          <w:u w:val="single"/>
        </w:rPr>
      </w:pPr>
      <w:r>
        <w:rPr>
          <w:rFonts w:eastAsia="Times New Roman" w:cs="Times New Roman"/>
          <w:i/>
          <w:iCs/>
          <w:color w:val="000000"/>
          <w:u w:val="single"/>
        </w:rPr>
        <w:t>Marine area management, 14.2.1</w:t>
      </w:r>
    </w:p>
    <w:p w14:paraId="3DD1BADB" w14:textId="0FDAA638" w:rsidR="00F5320A" w:rsidRPr="00F51BF7" w:rsidRDefault="00F51BF7" w:rsidP="00F51BF7">
      <w:pPr>
        <w:pStyle w:val="ListParagraph"/>
        <w:numPr>
          <w:ilvl w:val="0"/>
          <w:numId w:val="17"/>
        </w:numPr>
        <w:spacing w:after="0" w:line="240" w:lineRule="auto"/>
        <w:rPr>
          <w:rFonts w:eastAsia="Times New Roman" w:cs="Times New Roman"/>
          <w:i/>
          <w:iCs/>
          <w:color w:val="000000"/>
        </w:rPr>
      </w:pPr>
      <w:r>
        <w:rPr>
          <w:rFonts w:eastAsia="Times New Roman" w:cs="Times New Roman"/>
          <w:color w:val="000000"/>
        </w:rPr>
        <w:lastRenderedPageBreak/>
        <w:t xml:space="preserve">This indicator aims to measure national level policy. This indicator was reviewed by UNEP’s international expert group, but the decision was made to utilize the existing reporting under the Regional Seas to the extent possible. </w:t>
      </w:r>
      <w:r w:rsidR="00824C96" w:rsidRPr="00F51BF7">
        <w:rPr>
          <w:rFonts w:eastAsia="Times New Roman" w:cs="Times New Roman"/>
          <w:color w:val="000000"/>
        </w:rPr>
        <w:t xml:space="preserve"> </w:t>
      </w:r>
      <w:r>
        <w:rPr>
          <w:rFonts w:eastAsia="Times New Roman" w:cs="Times New Roman"/>
          <w:color w:val="000000"/>
        </w:rPr>
        <w:t xml:space="preserve">UNEP published a conceptual guideline on using existing regional seas monitoring of ICZM (and Marine Spatial Planning (MSP)) for monitoring SDG 14.1.1: </w:t>
      </w:r>
      <w:hyperlink r:id="rId12" w:history="1">
        <w:r w:rsidRPr="0032744F">
          <w:rPr>
            <w:rStyle w:val="Hyperlink"/>
            <w:rFonts w:eastAsia="Times New Roman" w:cs="Times New Roman"/>
          </w:rPr>
          <w:t>https://wedocs.unep.org/bitstream/handle/20.500.11822/26440/MSP_ICZM_Guidelines.pdf?sequence=1&amp;isAllowed=y</w:t>
        </w:r>
      </w:hyperlink>
      <w:r>
        <w:rPr>
          <w:rFonts w:eastAsia="Times New Roman" w:cs="Times New Roman"/>
          <w:color w:val="000000"/>
        </w:rPr>
        <w:t xml:space="preserve">.  </w:t>
      </w:r>
      <w:r w:rsidRPr="00F51BF7">
        <w:rPr>
          <w:rFonts w:eastAsia="Times New Roman" w:cs="Times New Roman"/>
          <w:color w:val="000000"/>
        </w:rPr>
        <w:t xml:space="preserve">A few examples of existing monitoring of ICZM and MSP </w:t>
      </w:r>
      <w:r>
        <w:rPr>
          <w:rFonts w:eastAsia="Times New Roman" w:cs="Times New Roman"/>
          <w:color w:val="000000"/>
        </w:rPr>
        <w:t>are presented in the document. Additionally, many Regional Seas have already begun collecting this information (see the</w:t>
      </w:r>
      <w:r w:rsidR="00C64A9B">
        <w:rPr>
          <w:noProof/>
        </w:rPr>
        <w:drawing>
          <wp:anchor distT="0" distB="0" distL="114300" distR="114300" simplePos="0" relativeHeight="251658240" behindDoc="0" locked="0" layoutInCell="1" allowOverlap="1" wp14:anchorId="5EC54870" wp14:editId="26B89FFD">
            <wp:simplePos x="0" y="0"/>
            <wp:positionH relativeFrom="column">
              <wp:posOffset>2990850</wp:posOffset>
            </wp:positionH>
            <wp:positionV relativeFrom="paragraph">
              <wp:posOffset>1075690</wp:posOffset>
            </wp:positionV>
            <wp:extent cx="1896110" cy="2628900"/>
            <wp:effectExtent l="0" t="0" r="8890" b="0"/>
            <wp:wrapThrough wrapText="bothSides">
              <wp:wrapPolygon edited="0">
                <wp:start x="0" y="0"/>
                <wp:lineTo x="0" y="21443"/>
                <wp:lineTo x="21484" y="21443"/>
                <wp:lineTo x="21484"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96110" cy="26289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Times New Roman"/>
          <w:color w:val="000000"/>
        </w:rPr>
        <w:t xml:space="preserve"> below examples – orange is existing plans).</w:t>
      </w:r>
      <w:r w:rsidR="00C64A9B" w:rsidRPr="00C64A9B">
        <w:rPr>
          <w:noProof/>
        </w:rPr>
        <w:t xml:space="preserve"> </w:t>
      </w:r>
      <w:r w:rsidR="00C64A9B">
        <w:rPr>
          <w:noProof/>
        </w:rPr>
        <w:drawing>
          <wp:inline distT="0" distB="0" distL="0" distR="0" wp14:anchorId="7EA1CD6A" wp14:editId="20524981">
            <wp:extent cx="2028825" cy="2925372"/>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40505" cy="2942213"/>
                    </a:xfrm>
                    <a:prstGeom prst="rect">
                      <a:avLst/>
                    </a:prstGeom>
                  </pic:spPr>
                </pic:pic>
              </a:graphicData>
            </a:graphic>
          </wp:inline>
        </w:drawing>
      </w:r>
    </w:p>
    <w:p w14:paraId="2BB93C94" w14:textId="70CEE66B" w:rsidR="00F51BF7" w:rsidRPr="00F51BF7" w:rsidRDefault="00F51BF7" w:rsidP="00C64A9B">
      <w:pPr>
        <w:pStyle w:val="ListParagraph"/>
        <w:spacing w:after="0" w:line="240" w:lineRule="auto"/>
        <w:rPr>
          <w:rFonts w:eastAsia="Times New Roman" w:cs="Times New Roman"/>
          <w:i/>
          <w:iCs/>
          <w:color w:val="000000"/>
        </w:rPr>
      </w:pPr>
    </w:p>
    <w:p w14:paraId="538CC81C" w14:textId="77777777" w:rsidR="0095052B" w:rsidRDefault="0095052B" w:rsidP="00FF1A65">
      <w:pPr>
        <w:spacing w:after="0" w:line="240" w:lineRule="auto"/>
        <w:rPr>
          <w:rFonts w:eastAsia="Times New Roman" w:cs="Times New Roman"/>
          <w:color w:val="000000"/>
        </w:rPr>
      </w:pPr>
    </w:p>
    <w:p w14:paraId="051030F9" w14:textId="419658B2" w:rsidR="00A04D6C" w:rsidRDefault="00A04D6C" w:rsidP="00FF1A65">
      <w:pPr>
        <w:spacing w:after="0" w:line="240" w:lineRule="auto"/>
        <w:rPr>
          <w:rFonts w:eastAsia="Times New Roman" w:cs="Times New Roman"/>
          <w:color w:val="000000"/>
        </w:rPr>
      </w:pPr>
    </w:p>
    <w:p w14:paraId="3FD57DAE" w14:textId="02CC6D4F" w:rsidR="00A04D6C" w:rsidRPr="00A04D6C" w:rsidRDefault="00A04D6C" w:rsidP="00FF1A65">
      <w:pPr>
        <w:spacing w:after="0" w:line="240" w:lineRule="auto"/>
        <w:rPr>
          <w:rFonts w:eastAsia="Times New Roman" w:cs="Times New Roman"/>
          <w:color w:val="000000"/>
          <w:u w:val="single"/>
        </w:rPr>
      </w:pPr>
      <w:r w:rsidRPr="00A04D6C">
        <w:rPr>
          <w:rFonts w:eastAsia="Times New Roman" w:cs="Times New Roman"/>
          <w:color w:val="000000"/>
          <w:u w:val="single"/>
        </w:rPr>
        <w:t>Proposed approach for the methodology:</w:t>
      </w:r>
    </w:p>
    <w:p w14:paraId="5E1F0B74" w14:textId="243A3503" w:rsidR="00C64A9B" w:rsidRDefault="00C64A9B" w:rsidP="00C64A9B">
      <w:pPr>
        <w:spacing w:after="0" w:line="240" w:lineRule="auto"/>
        <w:rPr>
          <w:rFonts w:eastAsia="Times New Roman" w:cs="Times New Roman"/>
          <w:color w:val="000000"/>
        </w:rPr>
      </w:pPr>
      <w:r w:rsidRPr="00C64A9B">
        <w:rPr>
          <w:rFonts w:eastAsia="Times New Roman" w:cs="Times New Roman"/>
          <w:color w:val="000000"/>
        </w:rPr>
        <w:t xml:space="preserve">The environmental dimension of the SDG indicators is relatively new compared to the MDGs and </w:t>
      </w:r>
      <w:proofErr w:type="gramStart"/>
      <w:r w:rsidRPr="00C64A9B">
        <w:rPr>
          <w:rFonts w:eastAsia="Times New Roman" w:cs="Times New Roman"/>
          <w:color w:val="000000"/>
        </w:rPr>
        <w:t>nationally-derived</w:t>
      </w:r>
      <w:proofErr w:type="gramEnd"/>
      <w:r w:rsidRPr="00C64A9B">
        <w:rPr>
          <w:rFonts w:eastAsia="Times New Roman" w:cs="Times New Roman"/>
          <w:color w:val="000000"/>
        </w:rPr>
        <w:t xml:space="preserve"> environmental data has not often been captured before. </w:t>
      </w:r>
      <w:proofErr w:type="gramStart"/>
      <w:r w:rsidRPr="00C64A9B">
        <w:rPr>
          <w:rFonts w:eastAsia="Times New Roman" w:cs="Times New Roman"/>
          <w:color w:val="000000"/>
        </w:rPr>
        <w:t>With this in mind, this</w:t>
      </w:r>
      <w:proofErr w:type="gramEnd"/>
      <w:r w:rsidRPr="00C64A9B">
        <w:rPr>
          <w:rFonts w:eastAsia="Times New Roman" w:cs="Times New Roman"/>
          <w:color w:val="000000"/>
        </w:rPr>
        <w:t xml:space="preserve"> methodology encourages the use of globally available environmental data to enhance country-derived data, filling data gaps and enabling countries to more rapidly make progress towards achieving Targets. For SDG 14.1.1, both coastal eutrophication and marine litter a progressive monitoring approach which brings together globally modelled data and national data is proposed. This same approach has been adopted for other SDG Indicator methodologies, such as Indicator 6.6.1 and 15.3.1</w:t>
      </w:r>
    </w:p>
    <w:p w14:paraId="6810890E" w14:textId="77777777" w:rsidR="00C64A9B" w:rsidRPr="00C64A9B" w:rsidRDefault="00C64A9B" w:rsidP="00C64A9B">
      <w:pPr>
        <w:spacing w:after="0" w:line="240" w:lineRule="auto"/>
        <w:rPr>
          <w:rFonts w:eastAsia="Times New Roman" w:cs="Times New Roman"/>
          <w:color w:val="000000"/>
        </w:rPr>
      </w:pPr>
    </w:p>
    <w:p w14:paraId="68075C65" w14:textId="5D66DD8A" w:rsidR="00C64A9B" w:rsidRDefault="00C64A9B" w:rsidP="00C64A9B">
      <w:pPr>
        <w:spacing w:after="0" w:line="240" w:lineRule="auto"/>
        <w:rPr>
          <w:rFonts w:eastAsia="Times New Roman" w:cs="Times New Roman"/>
          <w:color w:val="000000"/>
        </w:rPr>
      </w:pPr>
      <w:r w:rsidRPr="00C64A9B">
        <w:rPr>
          <w:rFonts w:eastAsia="Times New Roman" w:cs="Times New Roman"/>
          <w:color w:val="000000"/>
        </w:rPr>
        <w:t xml:space="preserve">This methodology applies a progressive monitoring approach meaning countries can utilize both globally- and nationally- derived data to report on Indicator 14.1.1. Countries should aim to report on all aspects of Indicator 14.1.1 should they have the data and capacity to do so. While it is beneficial to capture data on all aspects of the Indicator, some countries may be able to achieve </w:t>
      </w:r>
      <w:proofErr w:type="gramStart"/>
      <w:r w:rsidRPr="00C64A9B">
        <w:rPr>
          <w:rFonts w:eastAsia="Times New Roman" w:cs="Times New Roman"/>
          <w:color w:val="000000"/>
        </w:rPr>
        <w:t>this</w:t>
      </w:r>
      <w:proofErr w:type="gramEnd"/>
      <w:r w:rsidRPr="00C64A9B">
        <w:rPr>
          <w:rFonts w:eastAsia="Times New Roman" w:cs="Times New Roman"/>
          <w:color w:val="000000"/>
        </w:rPr>
        <w:t xml:space="preserve"> and others may not have all data available. This progressive monitoring approach therefore encourages different levels of ambition.</w:t>
      </w:r>
    </w:p>
    <w:p w14:paraId="4E4DCFD9" w14:textId="77777777" w:rsidR="00C64A9B" w:rsidRPr="00C64A9B" w:rsidRDefault="00C64A9B" w:rsidP="00C64A9B">
      <w:pPr>
        <w:spacing w:after="0" w:line="240" w:lineRule="auto"/>
        <w:rPr>
          <w:rFonts w:eastAsia="Times New Roman" w:cs="Times New Roman"/>
          <w:color w:val="000000"/>
        </w:rPr>
      </w:pPr>
    </w:p>
    <w:p w14:paraId="1124A572" w14:textId="60B7256C" w:rsidR="002B1A4B" w:rsidRDefault="00C64A9B" w:rsidP="00C64A9B">
      <w:pPr>
        <w:spacing w:after="0" w:line="240" w:lineRule="auto"/>
        <w:rPr>
          <w:rFonts w:eastAsia="Times New Roman" w:cs="Times New Roman"/>
          <w:color w:val="000000"/>
        </w:rPr>
      </w:pPr>
      <w:r w:rsidRPr="00C64A9B">
        <w:rPr>
          <w:rFonts w:eastAsia="Times New Roman" w:cs="Times New Roman"/>
          <w:color w:val="000000"/>
        </w:rPr>
        <w:lastRenderedPageBreak/>
        <w:t>The progressive monitoring approach uses 3 Levels. Level 1 data utilizes data which is already globally available to establish a foundation which can be strengthened by countries as they develop capacity and ability to report on Level 2 data and Level 3 data. Level 2 data is recommended for national data collection in all countries. Level 3 data is a list of supplementary information which is suggested that countries consider monitoring, but this manual does not go into detail on the Level 3 indicators. All globally available data will be shared with national statistical offices and other relevant authorities for in-country validation, to ensure coastal eutrophication is represented accurately. Since this global data is derived global algorithms, some countries may return their own data derived from regionally tuned algorithms as part of the Level 2 data.</w:t>
      </w:r>
    </w:p>
    <w:p w14:paraId="6D237A72" w14:textId="051D5BEE" w:rsidR="00C64A9B" w:rsidRDefault="00C64A9B" w:rsidP="00C64A9B">
      <w:pPr>
        <w:spacing w:after="0" w:line="240" w:lineRule="auto"/>
        <w:rPr>
          <w:rFonts w:eastAsia="Times New Roman" w:cs="Times New Roman"/>
          <w:color w:val="000000"/>
        </w:rPr>
      </w:pPr>
    </w:p>
    <w:p w14:paraId="525C7E52" w14:textId="43287ACE" w:rsidR="00C64A9B" w:rsidRDefault="00C64A9B" w:rsidP="00C64A9B">
      <w:pPr>
        <w:spacing w:after="0" w:line="240" w:lineRule="auto"/>
        <w:rPr>
          <w:rFonts w:eastAsia="Times New Roman" w:cs="Times New Roman"/>
          <w:color w:val="000000"/>
        </w:rPr>
      </w:pPr>
      <w:r>
        <w:rPr>
          <w:rFonts w:eastAsia="Times New Roman" w:cs="Times New Roman"/>
          <w:color w:val="000000"/>
        </w:rPr>
        <w:t xml:space="preserve">The details of the proposed indicators are included in the attached methodology and metadata. </w:t>
      </w:r>
    </w:p>
    <w:p w14:paraId="14DC4105" w14:textId="77777777" w:rsidR="00C64A9B" w:rsidRPr="007C60E6" w:rsidRDefault="00C64A9B" w:rsidP="00C64A9B">
      <w:pPr>
        <w:spacing w:after="0" w:line="240" w:lineRule="auto"/>
        <w:rPr>
          <w:rFonts w:eastAsia="Times New Roman" w:cs="Times New Roman"/>
          <w:color w:val="000000"/>
        </w:rPr>
      </w:pPr>
    </w:p>
    <w:p w14:paraId="2D5143D1" w14:textId="7E65378E" w:rsidR="007B4609" w:rsidRDefault="007B4609" w:rsidP="00C64A9B">
      <w:pPr>
        <w:spacing w:after="0" w:line="240" w:lineRule="auto"/>
        <w:rPr>
          <w:rFonts w:eastAsia="Times New Roman" w:cs="Times New Roman"/>
        </w:rPr>
      </w:pPr>
      <w:r w:rsidRPr="007C60E6">
        <w:rPr>
          <w:rFonts w:eastAsia="Times New Roman" w:cs="Times New Roman"/>
          <w:b/>
          <w:bCs/>
          <w:color w:val="000000"/>
        </w:rPr>
        <w:t>Justification</w:t>
      </w:r>
    </w:p>
    <w:p w14:paraId="0C1133A8" w14:textId="5F831AD2" w:rsidR="00C64A9B" w:rsidRDefault="00C64A9B" w:rsidP="00C64A9B">
      <w:pPr>
        <w:spacing w:after="0" w:line="240" w:lineRule="auto"/>
        <w:rPr>
          <w:rFonts w:eastAsia="Times New Roman" w:cs="Times New Roman"/>
        </w:rPr>
      </w:pPr>
      <w:r>
        <w:rPr>
          <w:rFonts w:eastAsia="Times New Roman" w:cs="Times New Roman"/>
        </w:rPr>
        <w:t>SDG indicators 14.1.1a, 14.1.1b and 14.2.1 are relatively new for many national statistical systems. The suggested approach aims to leverage global data which can be used for monitoring, build on the existing work of the regional seas and provide a progressive monitoring approach. Additionally, the indicators proposed have been supported by different bodies of the UN Environment Assembly and the intergovernmental processes of the Regional Seas – which provides support as endorsement as a global statistical standard. Therefore, UNEP believes that this indicator is ready to upgrade.</w:t>
      </w:r>
    </w:p>
    <w:p w14:paraId="41E3FBD6" w14:textId="77777777" w:rsidR="00C64A9B" w:rsidRPr="00C64A9B" w:rsidRDefault="00C64A9B" w:rsidP="00C64A9B">
      <w:pPr>
        <w:spacing w:after="0" w:line="240" w:lineRule="auto"/>
        <w:rPr>
          <w:rFonts w:eastAsia="Times New Roman" w:cs="Times New Roman"/>
        </w:rPr>
      </w:pPr>
    </w:p>
    <w:p w14:paraId="16360966" w14:textId="77777777" w:rsidR="002B1A4B" w:rsidRPr="007C60E6" w:rsidRDefault="002B1A4B" w:rsidP="002B1A4B">
      <w:pPr>
        <w:jc w:val="both"/>
        <w:rPr>
          <w:b/>
        </w:rPr>
      </w:pPr>
      <w:bookmarkStart w:id="1" w:name="_Hlk507766116"/>
    </w:p>
    <w:p w14:paraId="32134E92" w14:textId="77777777" w:rsidR="002B1A4B" w:rsidRPr="007C60E6" w:rsidRDefault="002B1A4B">
      <w:pPr>
        <w:rPr>
          <w:b/>
        </w:rPr>
      </w:pPr>
      <w:r w:rsidRPr="007C60E6">
        <w:rPr>
          <w:b/>
        </w:rPr>
        <w:br w:type="page"/>
      </w:r>
    </w:p>
    <w:p w14:paraId="29B9F994" w14:textId="6341B1D6" w:rsidR="002B1A4B" w:rsidRDefault="002B1A4B" w:rsidP="002B1A4B">
      <w:pPr>
        <w:jc w:val="both"/>
      </w:pPr>
      <w:r w:rsidRPr="007C60E6">
        <w:rPr>
          <w:b/>
        </w:rPr>
        <w:lastRenderedPageBreak/>
        <w:t xml:space="preserve">Annex: Pilot </w:t>
      </w:r>
      <w:r w:rsidR="00C55789">
        <w:rPr>
          <w:b/>
        </w:rPr>
        <w:t>testing and consultations</w:t>
      </w:r>
      <w:r w:rsidRPr="007C60E6">
        <w:t>:</w:t>
      </w:r>
    </w:p>
    <w:p w14:paraId="0A4B5871" w14:textId="77777777" w:rsidR="00C55789" w:rsidRPr="00854DDA" w:rsidRDefault="00C55789" w:rsidP="002B1A4B">
      <w:pPr>
        <w:jc w:val="both"/>
        <w:rPr>
          <w:b/>
          <w:u w:val="single"/>
        </w:rPr>
      </w:pPr>
      <w:r w:rsidRPr="00854DDA">
        <w:rPr>
          <w:b/>
          <w:u w:val="single"/>
        </w:rPr>
        <w:t>In-country testing:</w:t>
      </w:r>
    </w:p>
    <w:p w14:paraId="2937ED92" w14:textId="6BCD2102" w:rsidR="00765187" w:rsidRPr="00854DDA" w:rsidRDefault="00C55789" w:rsidP="002B1A4B">
      <w:pPr>
        <w:jc w:val="both"/>
      </w:pPr>
      <w:r w:rsidRPr="00854DDA">
        <w:t>The</w:t>
      </w:r>
      <w:r w:rsidR="00765187" w:rsidRPr="00854DDA">
        <w:t xml:space="preserve"> draft methodology was tested during consultations with Colombia</w:t>
      </w:r>
      <w:r w:rsidRPr="00854DDA">
        <w:t xml:space="preserve">, </w:t>
      </w:r>
      <w:r w:rsidR="00765187" w:rsidRPr="00854DDA">
        <w:t xml:space="preserve">Brazil </w:t>
      </w:r>
      <w:r w:rsidRPr="00854DDA">
        <w:t>and South Africa</w:t>
      </w:r>
      <w:r w:rsidR="005F383F" w:rsidRPr="00854DDA">
        <w:t xml:space="preserve">. The draft was </w:t>
      </w:r>
      <w:proofErr w:type="gramStart"/>
      <w:r w:rsidR="005F383F" w:rsidRPr="00854DDA">
        <w:t>presented</w:t>
      </w:r>
      <w:proofErr w:type="gramEnd"/>
      <w:r w:rsidR="005F383F" w:rsidRPr="00854DDA">
        <w:t xml:space="preserve"> and bilateral consultations held </w:t>
      </w:r>
      <w:r w:rsidRPr="00854DDA">
        <w:t xml:space="preserve">with the government institutions responsible for the indicator, as well as other relevant national stakeholders, </w:t>
      </w:r>
      <w:r w:rsidR="005F383F" w:rsidRPr="00854DDA">
        <w:t xml:space="preserve">to </w:t>
      </w:r>
      <w:r w:rsidRPr="00854DDA">
        <w:t>examine</w:t>
      </w:r>
      <w:r w:rsidR="005F383F" w:rsidRPr="00854DDA">
        <w:t xml:space="preserve"> the various elements of the methodology</w:t>
      </w:r>
      <w:r w:rsidRPr="00854DDA">
        <w:t xml:space="preserve"> and obtain feedback on the overall approach, as well </w:t>
      </w:r>
      <w:r w:rsidR="00483B32" w:rsidRPr="00854DDA">
        <w:t xml:space="preserve">as on specific elements of the methodology. </w:t>
      </w:r>
    </w:p>
    <w:p w14:paraId="106BB58D" w14:textId="444E2531" w:rsidR="00483B32" w:rsidRPr="00854DDA" w:rsidRDefault="00483B32" w:rsidP="00483B32">
      <w:pPr>
        <w:jc w:val="both"/>
        <w:rPr>
          <w:u w:val="single"/>
        </w:rPr>
      </w:pPr>
      <w:r w:rsidRPr="00854DDA">
        <w:rPr>
          <w:u w:val="single"/>
        </w:rPr>
        <w:t>Institutions consulted</w:t>
      </w:r>
      <w:r w:rsidR="00222047" w:rsidRPr="00854DDA">
        <w:rPr>
          <w:u w:val="single"/>
        </w:rPr>
        <w:t xml:space="preserve"> (Colombia)</w:t>
      </w:r>
      <w:r w:rsidRPr="00854DDA">
        <w:rPr>
          <w:u w:val="single"/>
        </w:rPr>
        <w:t>:</w:t>
      </w:r>
    </w:p>
    <w:p w14:paraId="62D0EECF" w14:textId="77777777" w:rsidR="00483B32" w:rsidRPr="00854DDA" w:rsidRDefault="00765187" w:rsidP="0071510A">
      <w:pPr>
        <w:pStyle w:val="ListParagraph"/>
        <w:numPr>
          <w:ilvl w:val="0"/>
          <w:numId w:val="10"/>
        </w:numPr>
        <w:spacing w:after="0"/>
        <w:contextualSpacing w:val="0"/>
        <w:jc w:val="both"/>
      </w:pPr>
      <w:r w:rsidRPr="00854DDA">
        <w:t>Ministry of Commerce, Industry and Tourism, Colombia</w:t>
      </w:r>
    </w:p>
    <w:p w14:paraId="361B8562" w14:textId="77777777" w:rsidR="00483B32" w:rsidRPr="00854DDA" w:rsidRDefault="00765187" w:rsidP="0071510A">
      <w:pPr>
        <w:pStyle w:val="ListParagraph"/>
        <w:numPr>
          <w:ilvl w:val="0"/>
          <w:numId w:val="10"/>
        </w:numPr>
        <w:spacing w:after="0"/>
        <w:contextualSpacing w:val="0"/>
        <w:jc w:val="both"/>
      </w:pPr>
      <w:r w:rsidRPr="00854DDA">
        <w:t>Ministry of Environment, Colombia</w:t>
      </w:r>
    </w:p>
    <w:p w14:paraId="0DBCD499" w14:textId="77777777" w:rsidR="00483B32" w:rsidRPr="00854DDA" w:rsidRDefault="00765187" w:rsidP="0071510A">
      <w:pPr>
        <w:pStyle w:val="ListParagraph"/>
        <w:numPr>
          <w:ilvl w:val="0"/>
          <w:numId w:val="10"/>
        </w:numPr>
        <w:spacing w:after="0"/>
        <w:contextualSpacing w:val="0"/>
        <w:jc w:val="both"/>
      </w:pPr>
      <w:r w:rsidRPr="00854DDA">
        <w:t>National Administrative Department of Statistics (DANE), Colombia</w:t>
      </w:r>
    </w:p>
    <w:p w14:paraId="39C82107" w14:textId="2E60F46E" w:rsidR="00483B32" w:rsidRPr="00854DDA" w:rsidRDefault="00765187" w:rsidP="0071510A">
      <w:pPr>
        <w:pStyle w:val="ListParagraph"/>
        <w:numPr>
          <w:ilvl w:val="0"/>
          <w:numId w:val="10"/>
        </w:numPr>
        <w:spacing w:after="0"/>
        <w:contextualSpacing w:val="0"/>
        <w:jc w:val="both"/>
      </w:pPr>
      <w:r w:rsidRPr="00854DDA">
        <w:t>Andes University</w:t>
      </w:r>
      <w:r w:rsidR="00483B32" w:rsidRPr="00854DDA">
        <w:t>, Colombia (conduct national research on corporate social responsibility and sustainability reporting and a main partner of the Government on the topic)</w:t>
      </w:r>
    </w:p>
    <w:p w14:paraId="13DCABEA" w14:textId="77777777" w:rsidR="00483B32" w:rsidRPr="00854DDA" w:rsidRDefault="00483B32" w:rsidP="0071510A">
      <w:pPr>
        <w:pStyle w:val="ListParagraph"/>
        <w:numPr>
          <w:ilvl w:val="0"/>
          <w:numId w:val="10"/>
        </w:numPr>
        <w:spacing w:after="0"/>
        <w:contextualSpacing w:val="0"/>
        <w:jc w:val="both"/>
      </w:pPr>
      <w:r w:rsidRPr="00854DDA">
        <w:t xml:space="preserve">Hub Economia Circular – a consultancy specialized in corporate sustainability practices, </w:t>
      </w:r>
      <w:proofErr w:type="gramStart"/>
      <w:r w:rsidRPr="00854DDA">
        <w:t>and also</w:t>
      </w:r>
      <w:proofErr w:type="gramEnd"/>
      <w:r w:rsidRPr="00854DDA">
        <w:t xml:space="preserve"> a key partner of the Government on CSR-related issues</w:t>
      </w:r>
    </w:p>
    <w:p w14:paraId="44FCE63A" w14:textId="49B74EF0" w:rsidR="00765187" w:rsidRDefault="00765187" w:rsidP="0071510A">
      <w:pPr>
        <w:pStyle w:val="ListParagraph"/>
        <w:numPr>
          <w:ilvl w:val="0"/>
          <w:numId w:val="10"/>
        </w:numPr>
        <w:spacing w:after="0"/>
        <w:contextualSpacing w:val="0"/>
        <w:jc w:val="both"/>
      </w:pPr>
      <w:r w:rsidRPr="00854DDA">
        <w:t xml:space="preserve">Representatives from the Colombian </w:t>
      </w:r>
      <w:proofErr w:type="spellStart"/>
      <w:r w:rsidRPr="00854DDA">
        <w:t>agro</w:t>
      </w:r>
      <w:proofErr w:type="spellEnd"/>
      <w:r w:rsidRPr="00854DDA">
        <w:t xml:space="preserve">-food industry, including Juan Valdez Café, Team, Grupo </w:t>
      </w:r>
      <w:proofErr w:type="spellStart"/>
      <w:r w:rsidRPr="00854DDA">
        <w:t>Nutresa</w:t>
      </w:r>
      <w:proofErr w:type="spellEnd"/>
      <w:r w:rsidRPr="00854DDA">
        <w:t xml:space="preserve">, and </w:t>
      </w:r>
      <w:proofErr w:type="spellStart"/>
      <w:r w:rsidRPr="00854DDA">
        <w:t>Alpina</w:t>
      </w:r>
      <w:bookmarkEnd w:id="1"/>
      <w:proofErr w:type="spellEnd"/>
    </w:p>
    <w:p w14:paraId="185C32B8" w14:textId="77777777" w:rsidR="0071510A" w:rsidRPr="00854DDA" w:rsidRDefault="0071510A" w:rsidP="0071510A">
      <w:pPr>
        <w:spacing w:after="0"/>
        <w:ind w:left="360"/>
        <w:jc w:val="both"/>
      </w:pPr>
    </w:p>
    <w:p w14:paraId="2CE600DB" w14:textId="77777777" w:rsidR="00854DDA" w:rsidRPr="00854DDA" w:rsidRDefault="00222047" w:rsidP="00765187">
      <w:pPr>
        <w:rPr>
          <w:rFonts w:cs="Roboto-Regular"/>
          <w:b/>
        </w:rPr>
      </w:pPr>
      <w:r w:rsidRPr="00854DDA">
        <w:rPr>
          <w:u w:val="single"/>
        </w:rPr>
        <w:t>Institutions consulted (Brazil):</w:t>
      </w:r>
      <w:r w:rsidR="00854DDA" w:rsidRPr="00854DDA">
        <w:rPr>
          <w:rFonts w:cs="Roboto-Regular"/>
          <w:b/>
        </w:rPr>
        <w:t xml:space="preserve"> </w:t>
      </w:r>
    </w:p>
    <w:p w14:paraId="5C175A26" w14:textId="7BEA8D30" w:rsidR="00222047" w:rsidRPr="00854DDA" w:rsidRDefault="00854DDA" w:rsidP="0071510A">
      <w:pPr>
        <w:pStyle w:val="ListParagraph"/>
        <w:numPr>
          <w:ilvl w:val="0"/>
          <w:numId w:val="12"/>
        </w:numPr>
        <w:spacing w:after="0"/>
        <w:contextualSpacing w:val="0"/>
        <w:rPr>
          <w:rFonts w:cs="Roboto-Regular"/>
        </w:rPr>
      </w:pPr>
      <w:r w:rsidRPr="00854DDA">
        <w:rPr>
          <w:rFonts w:cs="Roboto-Regular"/>
        </w:rPr>
        <w:t>Ministry of Environment, Secretariat of Sustainable Consumption, Production and Development</w:t>
      </w:r>
    </w:p>
    <w:p w14:paraId="70376D7C" w14:textId="13D094C7" w:rsidR="00854DDA" w:rsidRPr="00854DDA" w:rsidRDefault="00854DDA" w:rsidP="0071510A">
      <w:pPr>
        <w:pStyle w:val="ListParagraph"/>
        <w:numPr>
          <w:ilvl w:val="0"/>
          <w:numId w:val="12"/>
        </w:numPr>
        <w:spacing w:after="0"/>
        <w:contextualSpacing w:val="0"/>
        <w:rPr>
          <w:rFonts w:cs="Roboto-Regular"/>
        </w:rPr>
      </w:pPr>
      <w:r w:rsidRPr="00854DDA">
        <w:rPr>
          <w:rFonts w:cs="Roboto-Regular"/>
        </w:rPr>
        <w:t>Brazilian Institute of Geography and Statistics</w:t>
      </w:r>
    </w:p>
    <w:p w14:paraId="43E85861" w14:textId="745D6984" w:rsidR="00854DDA" w:rsidRPr="00854DDA" w:rsidRDefault="00854DDA" w:rsidP="0071510A">
      <w:pPr>
        <w:pStyle w:val="ListParagraph"/>
        <w:numPr>
          <w:ilvl w:val="0"/>
          <w:numId w:val="12"/>
        </w:numPr>
        <w:spacing w:after="0"/>
        <w:contextualSpacing w:val="0"/>
        <w:rPr>
          <w:rFonts w:cs="Roboto-Regular"/>
        </w:rPr>
      </w:pPr>
      <w:r w:rsidRPr="00854DDA">
        <w:rPr>
          <w:rFonts w:cs="Roboto-Regular"/>
        </w:rPr>
        <w:t>Institute for Applied Economic Research (IPEA)</w:t>
      </w:r>
    </w:p>
    <w:p w14:paraId="3EA5E510" w14:textId="1F951AFF" w:rsidR="00854DDA" w:rsidRPr="00854DDA" w:rsidRDefault="00854DDA" w:rsidP="0071510A">
      <w:pPr>
        <w:pStyle w:val="ListParagraph"/>
        <w:numPr>
          <w:ilvl w:val="0"/>
          <w:numId w:val="12"/>
        </w:numPr>
        <w:spacing w:after="0"/>
        <w:contextualSpacing w:val="0"/>
        <w:rPr>
          <w:rFonts w:cs="Roboto-Regular"/>
        </w:rPr>
      </w:pPr>
      <w:r w:rsidRPr="00854DDA">
        <w:rPr>
          <w:rFonts w:cs="Roboto-Regular"/>
        </w:rPr>
        <w:t>Ministry of Industry, Foreign Trade and Services</w:t>
      </w:r>
    </w:p>
    <w:p w14:paraId="306BEAD5" w14:textId="2EE42B8D" w:rsidR="00D06BD0" w:rsidRPr="00854DDA" w:rsidRDefault="00854DDA" w:rsidP="0071510A">
      <w:pPr>
        <w:pStyle w:val="ListParagraph"/>
        <w:numPr>
          <w:ilvl w:val="0"/>
          <w:numId w:val="12"/>
        </w:numPr>
        <w:spacing w:after="0"/>
        <w:contextualSpacing w:val="0"/>
        <w:rPr>
          <w:rFonts w:cs="Roboto-Regular"/>
        </w:rPr>
      </w:pPr>
      <w:r w:rsidRPr="00854DDA">
        <w:rPr>
          <w:rFonts w:cs="Roboto-Regular"/>
        </w:rPr>
        <w:t>Global Reporting Initiative - GRI Brazil</w:t>
      </w:r>
    </w:p>
    <w:p w14:paraId="643C1639" w14:textId="540A51A3" w:rsidR="00D06BD0" w:rsidRPr="00854DDA" w:rsidRDefault="00D06BD0" w:rsidP="00765187">
      <w:pPr>
        <w:rPr>
          <w:u w:val="single"/>
        </w:rPr>
      </w:pPr>
      <w:r w:rsidRPr="00854DDA">
        <w:rPr>
          <w:u w:val="single"/>
        </w:rPr>
        <w:t>Institutions consulted (South Africa):</w:t>
      </w:r>
    </w:p>
    <w:p w14:paraId="4FE8B3CE" w14:textId="77777777" w:rsidR="00A972D9" w:rsidRPr="00854DDA" w:rsidRDefault="00A972D9" w:rsidP="0071510A">
      <w:pPr>
        <w:pStyle w:val="ListParagraph"/>
        <w:numPr>
          <w:ilvl w:val="0"/>
          <w:numId w:val="13"/>
        </w:numPr>
        <w:spacing w:after="0" w:line="240" w:lineRule="auto"/>
        <w:contextualSpacing w:val="0"/>
        <w:jc w:val="both"/>
        <w:rPr>
          <w:lang w:val="en-ZA"/>
        </w:rPr>
      </w:pPr>
      <w:r w:rsidRPr="00854DDA">
        <w:t xml:space="preserve">Department of Environmental Affairs (DEA), Environment House, Pretoria. </w:t>
      </w:r>
    </w:p>
    <w:p w14:paraId="2D46C7FE" w14:textId="77777777" w:rsidR="00A972D9" w:rsidRPr="00854DDA" w:rsidRDefault="00A972D9" w:rsidP="0071510A">
      <w:pPr>
        <w:pStyle w:val="ListParagraph"/>
        <w:numPr>
          <w:ilvl w:val="0"/>
          <w:numId w:val="13"/>
        </w:numPr>
        <w:spacing w:after="0" w:line="240" w:lineRule="auto"/>
        <w:contextualSpacing w:val="0"/>
        <w:jc w:val="both"/>
        <w:rPr>
          <w:lang w:val="en-ZA"/>
        </w:rPr>
      </w:pPr>
      <w:r w:rsidRPr="00854DDA">
        <w:t xml:space="preserve">Department of Performance Monitoring and Evaluation (DPME), </w:t>
      </w:r>
      <w:r w:rsidRPr="00854DDA">
        <w:rPr>
          <w:lang w:val="en-ZA"/>
        </w:rPr>
        <w:t xml:space="preserve">DPME offices, Pretoria. </w:t>
      </w:r>
    </w:p>
    <w:p w14:paraId="4DC430B8" w14:textId="604DD7F9" w:rsidR="00D06BD0" w:rsidRPr="00854DDA" w:rsidRDefault="00A972D9" w:rsidP="0071510A">
      <w:pPr>
        <w:pStyle w:val="ListParagraph"/>
        <w:numPr>
          <w:ilvl w:val="0"/>
          <w:numId w:val="13"/>
        </w:numPr>
        <w:spacing w:after="0" w:line="240" w:lineRule="auto"/>
        <w:contextualSpacing w:val="0"/>
        <w:jc w:val="both"/>
        <w:rPr>
          <w:lang w:val="en-ZA"/>
        </w:rPr>
      </w:pPr>
      <w:r w:rsidRPr="00854DDA">
        <w:t>Statistics South Africa (</w:t>
      </w:r>
      <w:proofErr w:type="spellStart"/>
      <w:r w:rsidRPr="00854DDA">
        <w:t>StatsSA</w:t>
      </w:r>
      <w:proofErr w:type="spellEnd"/>
      <w:r w:rsidRPr="00854DDA">
        <w:t xml:space="preserve">), </w:t>
      </w:r>
      <w:proofErr w:type="spellStart"/>
      <w:r w:rsidRPr="00854DDA">
        <w:rPr>
          <w:lang w:val="en-ZA"/>
        </w:rPr>
        <w:t>ISIbalo</w:t>
      </w:r>
      <w:proofErr w:type="spellEnd"/>
      <w:r w:rsidRPr="00854DDA">
        <w:rPr>
          <w:lang w:val="en-ZA"/>
        </w:rPr>
        <w:t xml:space="preserve"> House, Pretoria. </w:t>
      </w:r>
    </w:p>
    <w:p w14:paraId="2997E9FC" w14:textId="77777777" w:rsidR="0071510A" w:rsidRDefault="0071510A" w:rsidP="00765187">
      <w:pPr>
        <w:rPr>
          <w:b/>
          <w:u w:val="single"/>
        </w:rPr>
      </w:pPr>
    </w:p>
    <w:p w14:paraId="0F65D4D0" w14:textId="1D2419DC" w:rsidR="00222047" w:rsidRPr="00854DDA" w:rsidRDefault="00222047" w:rsidP="00765187">
      <w:pPr>
        <w:rPr>
          <w:b/>
          <w:u w:val="single"/>
        </w:rPr>
      </w:pPr>
      <w:r w:rsidRPr="00854DDA">
        <w:rPr>
          <w:b/>
          <w:u w:val="single"/>
        </w:rPr>
        <w:t>Webinars</w:t>
      </w:r>
      <w:r w:rsidR="0071510A">
        <w:rPr>
          <w:b/>
          <w:u w:val="single"/>
        </w:rPr>
        <w:t xml:space="preserve"> </w:t>
      </w:r>
      <w:r w:rsidRPr="00854DDA">
        <w:rPr>
          <w:b/>
          <w:u w:val="single"/>
        </w:rPr>
        <w:t>and written consultations:</w:t>
      </w:r>
    </w:p>
    <w:p w14:paraId="319E66F2" w14:textId="535F09DA" w:rsidR="00D06BD0" w:rsidRPr="00854DDA" w:rsidRDefault="00D06BD0" w:rsidP="00D06BD0">
      <w:pPr>
        <w:spacing w:after="0" w:line="240" w:lineRule="auto"/>
        <w:rPr>
          <w:rFonts w:eastAsia="Times New Roman" w:cs="Times New Roman"/>
          <w:color w:val="000000"/>
        </w:rPr>
      </w:pPr>
      <w:r w:rsidRPr="00854DDA">
        <w:rPr>
          <w:rFonts w:eastAsia="Times New Roman" w:cs="Times New Roman"/>
          <w:color w:val="000000"/>
        </w:rPr>
        <w:t xml:space="preserve">The Intergovernmental Working Group of Experts on International Standards of Accounting and Reporting (ISAR), hosted by UNCTAD was consulted on the methodological </w:t>
      </w:r>
      <w:r w:rsidRPr="00D5596D">
        <w:rPr>
          <w:rFonts w:eastAsia="Times New Roman" w:cs="Times New Roman"/>
          <w:color w:val="000000"/>
        </w:rPr>
        <w:t>approach at its meetings, and several members of ISAR participated in the International Task Force.</w:t>
      </w:r>
      <w:r w:rsidR="006540C1" w:rsidRPr="00D5596D">
        <w:rPr>
          <w:rFonts w:eastAsia="Times New Roman" w:cs="Times New Roman"/>
          <w:color w:val="000000"/>
        </w:rPr>
        <w:t xml:space="preserve"> ISAR membership includes </w:t>
      </w:r>
      <w:r w:rsidR="00D5596D" w:rsidRPr="00D5596D">
        <w:rPr>
          <w:rFonts w:eastAsia="Times New Roman" w:cs="Times New Roman"/>
          <w:color w:val="000000"/>
        </w:rPr>
        <w:t>34 member states on a rotational basis representing nine African, seven Asian, six Latin American, three Eastern European, and nine Western European and Other States</w:t>
      </w:r>
      <w:r w:rsidR="00D5596D">
        <w:rPr>
          <w:rFonts w:eastAsia="Times New Roman" w:cs="Times New Roman"/>
          <w:color w:val="000000"/>
        </w:rPr>
        <w:t xml:space="preserve">, and includes all other member states and other stakeholders as observers. </w:t>
      </w:r>
      <w:r w:rsidR="009E22BC">
        <w:rPr>
          <w:rFonts w:eastAsia="Times New Roman" w:cs="Times New Roman"/>
          <w:color w:val="000000"/>
        </w:rPr>
        <w:t xml:space="preserve">The draft methodology was presented for consultation and </w:t>
      </w:r>
      <w:r w:rsidR="009E22BC">
        <w:rPr>
          <w:rFonts w:eastAsia="Times New Roman" w:cs="Times New Roman"/>
          <w:color w:val="000000"/>
        </w:rPr>
        <w:lastRenderedPageBreak/>
        <w:t xml:space="preserve">feedback during an inter-sessional meeting in May 2018 and during the annual </w:t>
      </w:r>
      <w:r w:rsidR="00BB457B">
        <w:rPr>
          <w:rFonts w:eastAsia="Times New Roman" w:cs="Times New Roman"/>
          <w:color w:val="000000"/>
        </w:rPr>
        <w:t>ISAR session</w:t>
      </w:r>
      <w:r w:rsidR="009E22BC">
        <w:rPr>
          <w:rFonts w:eastAsia="Times New Roman" w:cs="Times New Roman"/>
          <w:color w:val="000000"/>
        </w:rPr>
        <w:t xml:space="preserve"> in October 2018.</w:t>
      </w:r>
    </w:p>
    <w:p w14:paraId="24E02829" w14:textId="77777777" w:rsidR="00D06BD0" w:rsidRPr="00854DDA" w:rsidRDefault="00D06BD0" w:rsidP="00D06BD0">
      <w:pPr>
        <w:spacing w:after="0" w:line="240" w:lineRule="auto"/>
        <w:rPr>
          <w:rFonts w:eastAsia="Times New Roman" w:cs="Times New Roman"/>
          <w:color w:val="000000"/>
        </w:rPr>
      </w:pPr>
    </w:p>
    <w:p w14:paraId="467162FE" w14:textId="2DAE1259" w:rsidR="00D06BD0" w:rsidRDefault="00D06BD0" w:rsidP="00D06BD0">
      <w:pPr>
        <w:spacing w:after="0" w:line="240" w:lineRule="auto"/>
        <w:rPr>
          <w:rFonts w:eastAsia="Times New Roman" w:cs="Times New Roman"/>
          <w:color w:val="000000"/>
        </w:rPr>
      </w:pPr>
      <w:r w:rsidRPr="00854DDA">
        <w:rPr>
          <w:rFonts w:eastAsia="Times New Roman" w:cs="Times New Roman"/>
          <w:color w:val="000000"/>
        </w:rPr>
        <w:t xml:space="preserve">The custodians also consulted with the Group of Friends of Paragraph 47, a group of Governments that convened during the United Nations Conference on Sustainable Development (or Rio +20) to promote the implementation of Paragraph 47 of its outcome document, the Future We Want, on Corporate Sustainability Reporting. </w:t>
      </w:r>
      <w:r w:rsidR="00854DDA">
        <w:rPr>
          <w:rFonts w:eastAsia="Times New Roman" w:cs="Times New Roman"/>
          <w:color w:val="000000"/>
        </w:rPr>
        <w:t>Members of the Group of Friends include:</w:t>
      </w:r>
    </w:p>
    <w:p w14:paraId="0A02A92A" w14:textId="2FEEA503" w:rsidR="00251D00" w:rsidRDefault="00251D00" w:rsidP="00251D00">
      <w:pPr>
        <w:pStyle w:val="ListParagraph"/>
        <w:numPr>
          <w:ilvl w:val="0"/>
          <w:numId w:val="14"/>
        </w:numPr>
        <w:spacing w:after="0" w:line="240" w:lineRule="auto"/>
        <w:rPr>
          <w:rFonts w:eastAsia="Times New Roman" w:cs="Times New Roman"/>
          <w:color w:val="000000"/>
        </w:rPr>
      </w:pPr>
      <w:r w:rsidRPr="00251D00">
        <w:rPr>
          <w:rFonts w:eastAsia="Times New Roman" w:cs="Times New Roman"/>
          <w:color w:val="000000"/>
        </w:rPr>
        <w:t>Ministry of Environment and Sustainable Development of Argentina</w:t>
      </w:r>
    </w:p>
    <w:p w14:paraId="713D3E73" w14:textId="22C5C3C2" w:rsidR="00251D00" w:rsidRDefault="006540C1" w:rsidP="00251D00">
      <w:pPr>
        <w:pStyle w:val="ListParagraph"/>
        <w:numPr>
          <w:ilvl w:val="0"/>
          <w:numId w:val="14"/>
        </w:numPr>
        <w:spacing w:after="0" w:line="240" w:lineRule="auto"/>
        <w:rPr>
          <w:rFonts w:eastAsia="Times New Roman" w:cs="Times New Roman"/>
          <w:color w:val="000000"/>
        </w:rPr>
      </w:pPr>
      <w:r>
        <w:rPr>
          <w:rFonts w:eastAsia="Times New Roman" w:cs="Times New Roman"/>
          <w:color w:val="000000"/>
        </w:rPr>
        <w:t>Ministry of Environment</w:t>
      </w:r>
      <w:r w:rsidR="00251D00">
        <w:rPr>
          <w:rFonts w:eastAsia="Times New Roman" w:cs="Times New Roman"/>
          <w:color w:val="000000"/>
        </w:rPr>
        <w:t xml:space="preserve"> of Chile</w:t>
      </w:r>
    </w:p>
    <w:p w14:paraId="42D2CCC4" w14:textId="6482C5CD" w:rsidR="00251D00" w:rsidRDefault="00251D00" w:rsidP="00251D00">
      <w:pPr>
        <w:pStyle w:val="ListParagraph"/>
        <w:numPr>
          <w:ilvl w:val="0"/>
          <w:numId w:val="14"/>
        </w:numPr>
        <w:spacing w:after="0" w:line="240" w:lineRule="auto"/>
        <w:rPr>
          <w:rFonts w:eastAsia="Times New Roman" w:cs="Times New Roman"/>
          <w:color w:val="000000"/>
        </w:rPr>
      </w:pPr>
      <w:r w:rsidRPr="00251D00">
        <w:rPr>
          <w:rFonts w:eastAsia="Times New Roman" w:cs="Times New Roman"/>
          <w:color w:val="000000"/>
        </w:rPr>
        <w:t>Ministry of Industry, Business and Financial Affairs</w:t>
      </w:r>
      <w:r>
        <w:rPr>
          <w:rFonts w:eastAsia="Times New Roman" w:cs="Times New Roman"/>
          <w:color w:val="000000"/>
        </w:rPr>
        <w:t xml:space="preserve"> of Denmark</w:t>
      </w:r>
    </w:p>
    <w:p w14:paraId="07EB41D0" w14:textId="3251C8C9" w:rsidR="00251D00" w:rsidRDefault="00251D00" w:rsidP="00251D00">
      <w:pPr>
        <w:pStyle w:val="ListParagraph"/>
        <w:numPr>
          <w:ilvl w:val="0"/>
          <w:numId w:val="14"/>
        </w:numPr>
        <w:spacing w:after="0" w:line="240" w:lineRule="auto"/>
        <w:rPr>
          <w:rFonts w:eastAsia="Times New Roman" w:cs="Times New Roman"/>
          <w:color w:val="000000"/>
        </w:rPr>
      </w:pPr>
      <w:r w:rsidRPr="00251D00">
        <w:rPr>
          <w:rFonts w:eastAsia="Times New Roman" w:cs="Times New Roman"/>
          <w:color w:val="000000"/>
        </w:rPr>
        <w:t>Ministry of Europe and Foreign Affairs</w:t>
      </w:r>
      <w:r>
        <w:rPr>
          <w:rFonts w:eastAsia="Times New Roman" w:cs="Times New Roman"/>
          <w:color w:val="000000"/>
        </w:rPr>
        <w:t xml:space="preserve"> of France</w:t>
      </w:r>
    </w:p>
    <w:p w14:paraId="069099F8" w14:textId="7134528D" w:rsidR="00251D00" w:rsidRDefault="00251D00" w:rsidP="00251D00">
      <w:pPr>
        <w:pStyle w:val="ListParagraph"/>
        <w:numPr>
          <w:ilvl w:val="0"/>
          <w:numId w:val="14"/>
        </w:numPr>
        <w:spacing w:after="0" w:line="240" w:lineRule="auto"/>
        <w:rPr>
          <w:rFonts w:eastAsia="Times New Roman" w:cs="Times New Roman"/>
          <w:color w:val="000000"/>
        </w:rPr>
      </w:pPr>
      <w:r w:rsidRPr="00251D00">
        <w:rPr>
          <w:rFonts w:eastAsia="Times New Roman" w:cs="Times New Roman"/>
          <w:color w:val="000000"/>
        </w:rPr>
        <w:t xml:space="preserve">Federal Office for the Environment </w:t>
      </w:r>
      <w:r>
        <w:rPr>
          <w:rFonts w:eastAsia="Times New Roman" w:cs="Times New Roman"/>
          <w:color w:val="000000"/>
        </w:rPr>
        <w:t>of Switzerland</w:t>
      </w:r>
    </w:p>
    <w:p w14:paraId="394A8CFF" w14:textId="678F2BD1" w:rsidR="00222047" w:rsidRDefault="006540C1" w:rsidP="00765187">
      <w:pPr>
        <w:pStyle w:val="ListParagraph"/>
        <w:numPr>
          <w:ilvl w:val="0"/>
          <w:numId w:val="14"/>
        </w:numPr>
        <w:spacing w:after="0" w:line="240" w:lineRule="auto"/>
        <w:rPr>
          <w:rFonts w:eastAsia="Times New Roman" w:cs="Times New Roman"/>
          <w:color w:val="000000"/>
        </w:rPr>
      </w:pPr>
      <w:r w:rsidRPr="006540C1">
        <w:rPr>
          <w:rFonts w:eastAsia="Times New Roman" w:cs="Times New Roman"/>
          <w:color w:val="000000"/>
        </w:rPr>
        <w:t>South African Department of Environmental Affairs</w:t>
      </w:r>
    </w:p>
    <w:p w14:paraId="0F2D570B" w14:textId="5C17F097" w:rsidR="00A20FA5" w:rsidRDefault="00A20FA5" w:rsidP="00A20FA5">
      <w:pPr>
        <w:spacing w:after="0" w:line="240" w:lineRule="auto"/>
        <w:rPr>
          <w:rFonts w:eastAsia="Times New Roman" w:cs="Times New Roman"/>
          <w:color w:val="000000"/>
        </w:rPr>
      </w:pPr>
    </w:p>
    <w:p w14:paraId="1D75BC15" w14:textId="085D2E8B" w:rsidR="00A20FA5" w:rsidRDefault="00A20FA5" w:rsidP="00A20FA5">
      <w:pPr>
        <w:spacing w:after="0" w:line="240" w:lineRule="auto"/>
        <w:rPr>
          <w:rFonts w:eastAsia="Times New Roman" w:cs="Times New Roman"/>
          <w:color w:val="000000"/>
        </w:rPr>
      </w:pPr>
      <w:r>
        <w:rPr>
          <w:rFonts w:eastAsia="Times New Roman" w:cs="Times New Roman"/>
          <w:color w:val="000000"/>
        </w:rPr>
        <w:t xml:space="preserve">Written feedback was also received from the Russian Federation, </w:t>
      </w:r>
      <w:r w:rsidR="001E4FA3">
        <w:rPr>
          <w:rFonts w:eastAsia="Times New Roman" w:cs="Times New Roman"/>
          <w:color w:val="000000"/>
        </w:rPr>
        <w:t>through the Statistics Office.</w:t>
      </w:r>
    </w:p>
    <w:p w14:paraId="2686998F" w14:textId="77777777" w:rsidR="00A20FA5" w:rsidRPr="00A20FA5" w:rsidRDefault="00A20FA5" w:rsidP="00A20FA5">
      <w:pPr>
        <w:spacing w:after="0" w:line="240" w:lineRule="auto"/>
        <w:rPr>
          <w:rFonts w:eastAsia="Times New Roman" w:cs="Times New Roman"/>
          <w:color w:val="000000"/>
        </w:rPr>
      </w:pPr>
    </w:p>
    <w:p w14:paraId="67D7C734" w14:textId="1322A81D" w:rsidR="00765187" w:rsidRPr="001E4FA3" w:rsidRDefault="0019418B" w:rsidP="00765187">
      <w:pPr>
        <w:rPr>
          <w:b/>
          <w:u w:val="single"/>
        </w:rPr>
      </w:pPr>
      <w:r>
        <w:rPr>
          <w:b/>
          <w:u w:val="single"/>
        </w:rPr>
        <w:t>Overall f</w:t>
      </w:r>
      <w:r w:rsidR="00222047" w:rsidRPr="001E4FA3">
        <w:rPr>
          <w:b/>
          <w:u w:val="single"/>
        </w:rPr>
        <w:t>eedback received on the methodology</w:t>
      </w:r>
      <w:r w:rsidR="00765187" w:rsidRPr="001E4FA3">
        <w:rPr>
          <w:b/>
          <w:u w:val="single"/>
        </w:rPr>
        <w:t>:</w:t>
      </w:r>
    </w:p>
    <w:p w14:paraId="10382971" w14:textId="010750B3" w:rsidR="004E2D04" w:rsidRDefault="004E2D04" w:rsidP="0019418B">
      <w:pPr>
        <w:pStyle w:val="ListParagraph"/>
        <w:numPr>
          <w:ilvl w:val="0"/>
          <w:numId w:val="11"/>
        </w:numPr>
        <w:spacing w:after="120"/>
        <w:contextualSpacing w:val="0"/>
      </w:pPr>
      <w:r w:rsidRPr="004E2D04">
        <w:t xml:space="preserve">The approach </w:t>
      </w:r>
      <w:r>
        <w:t>wa</w:t>
      </w:r>
      <w:r w:rsidRPr="004E2D04">
        <w:t>s considered complete, thoroughly thought out and potentially very useful</w:t>
      </w:r>
      <w:r w:rsidR="009316C0">
        <w:t xml:space="preserve"> for governments</w:t>
      </w:r>
      <w:r w:rsidRPr="004E2D04">
        <w:t xml:space="preserve">. </w:t>
      </w:r>
    </w:p>
    <w:p w14:paraId="733BA4D5" w14:textId="32A8C91D" w:rsidR="00E178BC" w:rsidRPr="00854DDA" w:rsidRDefault="00765187" w:rsidP="0019418B">
      <w:pPr>
        <w:pStyle w:val="ListParagraph"/>
        <w:numPr>
          <w:ilvl w:val="0"/>
          <w:numId w:val="11"/>
        </w:numPr>
        <w:spacing w:after="120"/>
        <w:contextualSpacing w:val="0"/>
      </w:pPr>
      <w:r w:rsidRPr="00854DDA">
        <w:t>All stakeholders agreed with the overall approach of the methodology</w:t>
      </w:r>
      <w:r w:rsidR="001E4FA3">
        <w:t>, in terms of defining a minimum standard of sustainability disclosures for a company to be included in the indicator count</w:t>
      </w:r>
      <w:r w:rsidRPr="00854DDA">
        <w:t xml:space="preserve">. They </w:t>
      </w:r>
      <w:r w:rsidR="001E4FA3">
        <w:t xml:space="preserve">generally also </w:t>
      </w:r>
      <w:r w:rsidRPr="00854DDA">
        <w:t>agreed with the approach of having different reporting levels, allowing companies to begin with the minimum and work their way up</w:t>
      </w:r>
      <w:r w:rsidR="00E178BC" w:rsidRPr="00854DDA">
        <w:t xml:space="preserve"> to advanced</w:t>
      </w:r>
      <w:r w:rsidRPr="00854DDA">
        <w:t xml:space="preserve">. </w:t>
      </w:r>
    </w:p>
    <w:p w14:paraId="5F02CE9B" w14:textId="60F3EF19" w:rsidR="00E178BC" w:rsidRDefault="009E4C62" w:rsidP="0019418B">
      <w:pPr>
        <w:pStyle w:val="ListParagraph"/>
        <w:numPr>
          <w:ilvl w:val="0"/>
          <w:numId w:val="11"/>
        </w:numPr>
        <w:spacing w:after="120"/>
        <w:contextualSpacing w:val="0"/>
      </w:pPr>
      <w:r>
        <w:t xml:space="preserve">The indicator was highlighted as challenging for member states. </w:t>
      </w:r>
      <w:r w:rsidR="001E4FA3">
        <w:t>Most</w:t>
      </w:r>
      <w:r w:rsidR="00765187" w:rsidRPr="00854DDA">
        <w:t xml:space="preserve"> were</w:t>
      </w:r>
      <w:r>
        <w:t xml:space="preserve"> therefore</w:t>
      </w:r>
      <w:r w:rsidR="00765187" w:rsidRPr="00854DDA">
        <w:t xml:space="preserve"> in </w:t>
      </w:r>
      <w:proofErr w:type="spellStart"/>
      <w:r w:rsidR="00765187" w:rsidRPr="00854DDA">
        <w:t>favour</w:t>
      </w:r>
      <w:proofErr w:type="spellEnd"/>
      <w:r w:rsidR="00765187" w:rsidRPr="00854DDA">
        <w:t xml:space="preserve"> of establishing</w:t>
      </w:r>
      <w:r w:rsidR="00E178BC" w:rsidRPr="00854DDA">
        <w:t xml:space="preserve"> an online platform/database</w:t>
      </w:r>
      <w:r>
        <w:t xml:space="preserve"> which would allow the custodian agencies to generate data for the indicator</w:t>
      </w:r>
      <w:r w:rsidR="00765187" w:rsidRPr="00854DDA">
        <w:t>, given the challenges they would have in themselves providing a figure for the number of companies within their</w:t>
      </w:r>
      <w:r w:rsidR="00E178BC" w:rsidRPr="00854DDA">
        <w:t xml:space="preserve"> jurisdiction</w:t>
      </w:r>
      <w:r w:rsidR="00765187" w:rsidRPr="00854DDA">
        <w:t xml:space="preserve"> publishing sustainability reports.</w:t>
      </w:r>
      <w:r w:rsidR="00CC3C6B">
        <w:t xml:space="preserve"> However, they insisted on national governments being able to verify the data and complement it is required.</w:t>
      </w:r>
    </w:p>
    <w:p w14:paraId="433D0370" w14:textId="65D28186" w:rsidR="00C5705A" w:rsidRDefault="00CF1871" w:rsidP="0019418B">
      <w:pPr>
        <w:pStyle w:val="ListParagraph"/>
        <w:numPr>
          <w:ilvl w:val="0"/>
          <w:numId w:val="11"/>
        </w:numPr>
        <w:spacing w:after="120"/>
        <w:contextualSpacing w:val="0"/>
      </w:pPr>
      <w:r>
        <w:t xml:space="preserve">Some Governments noted that they had considered using the number of Sustainability Reports included under their country in the Global Reporting Initiative (GRI). </w:t>
      </w:r>
      <w:r w:rsidR="00655F31">
        <w:t>However, they recognized that this approach had its limitations, such as not taking into account all sustainability reports</w:t>
      </w:r>
      <w:r w:rsidR="005877DA">
        <w:t xml:space="preserve"> (a significant number may be missing)</w:t>
      </w:r>
      <w:r w:rsidR="00655F31">
        <w:t xml:space="preserve">, </w:t>
      </w:r>
      <w:r w:rsidR="005877DA">
        <w:t xml:space="preserve">only taking into account one of the several existing global reporting frameworks, </w:t>
      </w:r>
      <w:r w:rsidR="00655F31">
        <w:t xml:space="preserve">and </w:t>
      </w:r>
      <w:r w:rsidR="005877DA">
        <w:t>counting all sustainability reports contained in the GRI database towards the indicator, regardless of quality.</w:t>
      </w:r>
    </w:p>
    <w:p w14:paraId="57332719" w14:textId="4E78E56C" w:rsidR="00765187" w:rsidRPr="00854DDA" w:rsidRDefault="00E01CD9" w:rsidP="0019418B">
      <w:pPr>
        <w:pStyle w:val="ListParagraph"/>
        <w:numPr>
          <w:ilvl w:val="0"/>
          <w:numId w:val="11"/>
        </w:numPr>
        <w:spacing w:after="120"/>
        <w:contextualSpacing w:val="0"/>
      </w:pPr>
      <w:r>
        <w:t xml:space="preserve">Stakeholders requested that the methodology align with existing reporting frameworks, such as the Global Reporting Initiative (GRI), used by most companies, and Global Core Indicators developed by UNCTAD. </w:t>
      </w:r>
      <w:r w:rsidR="00E178BC" w:rsidRPr="00854DDA">
        <w:t>This ha</w:t>
      </w:r>
      <w:r w:rsidR="001E4FA3">
        <w:t>d</w:t>
      </w:r>
      <w:r w:rsidR="00E178BC" w:rsidRPr="00854DDA">
        <w:t xml:space="preserve"> already been considered and </w:t>
      </w:r>
      <w:proofErr w:type="gramStart"/>
      <w:r w:rsidR="00E178BC" w:rsidRPr="00854DDA">
        <w:t>taken into account</w:t>
      </w:r>
      <w:proofErr w:type="gramEnd"/>
      <w:r w:rsidR="00E178BC" w:rsidRPr="00854DDA">
        <w:t xml:space="preserve"> in the methodology</w:t>
      </w:r>
      <w:r w:rsidR="001E4FA3">
        <w:t xml:space="preserve"> from the outset</w:t>
      </w:r>
      <w:r w:rsidR="003833B8">
        <w:t xml:space="preserve"> in ensuring that the minimum standard aligns with the existing reporting frameworks.</w:t>
      </w:r>
      <w:r w:rsidR="005658FB">
        <w:t xml:space="preserve"> </w:t>
      </w:r>
    </w:p>
    <w:p w14:paraId="085957B2" w14:textId="77777777" w:rsidR="004E2D04" w:rsidRDefault="00222047" w:rsidP="0019418B">
      <w:pPr>
        <w:pStyle w:val="ListParagraph"/>
        <w:numPr>
          <w:ilvl w:val="0"/>
          <w:numId w:val="11"/>
        </w:numPr>
        <w:spacing w:after="120"/>
        <w:contextualSpacing w:val="0"/>
      </w:pPr>
      <w:r w:rsidRPr="00854DDA">
        <w:lastRenderedPageBreak/>
        <w:t xml:space="preserve">The need to ensure that data could be disaggregated according to national definitions of company size was stressed. This has been </w:t>
      </w:r>
      <w:proofErr w:type="gramStart"/>
      <w:r w:rsidRPr="00854DDA">
        <w:t>taken into account</w:t>
      </w:r>
      <w:proofErr w:type="gramEnd"/>
      <w:r w:rsidRPr="00854DDA">
        <w:t xml:space="preserve"> in the refinement of the methodology. While </w:t>
      </w:r>
      <w:r w:rsidR="00765187" w:rsidRPr="00854DDA">
        <w:t>for the purposes of the regional and global aggregation and analysis for the indicator, it is necessary to have a common definition for all Member States</w:t>
      </w:r>
      <w:r w:rsidR="003833B8">
        <w:t xml:space="preserve">, </w:t>
      </w:r>
      <w:r w:rsidR="00765187" w:rsidRPr="00854DDA">
        <w:t xml:space="preserve">national definitions could differ. The </w:t>
      </w:r>
      <w:r w:rsidR="003833B8">
        <w:t>g</w:t>
      </w:r>
      <w:r w:rsidR="00765187" w:rsidRPr="00854DDA">
        <w:t xml:space="preserve">lobal </w:t>
      </w:r>
      <w:r w:rsidR="003833B8">
        <w:t xml:space="preserve">platform/database will therefore include a function </w:t>
      </w:r>
      <w:r w:rsidR="00765187" w:rsidRPr="00854DDA">
        <w:t xml:space="preserve">whereby users could apply filters and search for the number of companies reporting according to different company sizes (employee numbers) </w:t>
      </w:r>
      <w:r w:rsidR="003833B8">
        <w:t xml:space="preserve">or turnover </w:t>
      </w:r>
      <w:r w:rsidR="00765187" w:rsidRPr="00854DDA">
        <w:t xml:space="preserve">that would align with their national definitions. Member States could then carry out additional analysis and report according to their own national definitions for the purposes of their Voluntary National Reviews, should they prefer. </w:t>
      </w:r>
    </w:p>
    <w:p w14:paraId="46A5C553" w14:textId="46B6DF3C" w:rsidR="009316C0" w:rsidRDefault="004E2D04" w:rsidP="0019418B">
      <w:pPr>
        <w:pStyle w:val="ListParagraph"/>
        <w:numPr>
          <w:ilvl w:val="0"/>
          <w:numId w:val="11"/>
        </w:numPr>
        <w:spacing w:after="120"/>
        <w:contextualSpacing w:val="0"/>
      </w:pPr>
      <w:r>
        <w:t>Generally, feedback supported</w:t>
      </w:r>
      <w:r w:rsidR="00765187" w:rsidRPr="00854DDA">
        <w:t xml:space="preserve"> disaggregat</w:t>
      </w:r>
      <w:r>
        <w:t>ion</w:t>
      </w:r>
      <w:r w:rsidR="00765187" w:rsidRPr="00854DDA">
        <w:t xml:space="preserve"> per sector, which would serve as a basis for further analysis at the national level, such as the percentage of listed companies in each sector producing sustainability reports. </w:t>
      </w:r>
      <w:r w:rsidR="00E01CD9">
        <w:t xml:space="preserve">Most stakeholders requested that the </w:t>
      </w:r>
      <w:r w:rsidR="006D7036" w:rsidRPr="006D7036">
        <w:t>International Standard Industrial Classification of all Economic Activities (ISIC)</w:t>
      </w:r>
      <w:r w:rsidR="006D7036">
        <w:t xml:space="preserve"> definition of sectors be used.</w:t>
      </w:r>
    </w:p>
    <w:p w14:paraId="1F72254C" w14:textId="0584A223" w:rsidR="007C60E6" w:rsidRPr="0019418B" w:rsidRDefault="009316C0" w:rsidP="0019418B">
      <w:pPr>
        <w:pStyle w:val="ListParagraph"/>
        <w:numPr>
          <w:ilvl w:val="0"/>
          <w:numId w:val="11"/>
        </w:numPr>
        <w:spacing w:after="120"/>
        <w:contextualSpacing w:val="0"/>
        <w:rPr>
          <w:lang w:val="en-ZA"/>
        </w:rPr>
      </w:pPr>
      <w:r>
        <w:t>The value of recording information on the number of third-party verified reports was highlighted.</w:t>
      </w:r>
    </w:p>
    <w:sectPr w:rsidR="007C60E6" w:rsidRPr="001941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2E75A" w14:textId="77777777" w:rsidR="001D0891" w:rsidRDefault="001D0891" w:rsidP="002B1A4B">
      <w:pPr>
        <w:spacing w:after="0" w:line="240" w:lineRule="auto"/>
      </w:pPr>
      <w:r>
        <w:separator/>
      </w:r>
    </w:p>
  </w:endnote>
  <w:endnote w:type="continuationSeparator" w:id="0">
    <w:p w14:paraId="4C7906FF" w14:textId="77777777" w:rsidR="001D0891" w:rsidRDefault="001D0891" w:rsidP="002B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Roboto-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C721B" w14:textId="77777777" w:rsidR="001D0891" w:rsidRDefault="001D0891" w:rsidP="002B1A4B">
      <w:pPr>
        <w:spacing w:after="0" w:line="240" w:lineRule="auto"/>
      </w:pPr>
      <w:r>
        <w:separator/>
      </w:r>
    </w:p>
  </w:footnote>
  <w:footnote w:type="continuationSeparator" w:id="0">
    <w:p w14:paraId="01600DE7" w14:textId="77777777" w:rsidR="001D0891" w:rsidRDefault="001D0891" w:rsidP="002B1A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9pt;height:8.25pt" o:bullet="t">
        <v:imagedata r:id="rId1" o:title="Featured listfin"/>
      </v:shape>
    </w:pict>
  </w:numPicBullet>
  <w:abstractNum w:abstractNumId="0" w15:restartNumberingAfterBreak="0">
    <w:nsid w:val="040F5A2E"/>
    <w:multiLevelType w:val="hybridMultilevel"/>
    <w:tmpl w:val="D6C0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734B"/>
    <w:multiLevelType w:val="hybridMultilevel"/>
    <w:tmpl w:val="95320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139A1"/>
    <w:multiLevelType w:val="hybridMultilevel"/>
    <w:tmpl w:val="43D6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F7869"/>
    <w:multiLevelType w:val="hybridMultilevel"/>
    <w:tmpl w:val="5E1CC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B72F4"/>
    <w:multiLevelType w:val="hybridMultilevel"/>
    <w:tmpl w:val="BA747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202FCE"/>
    <w:multiLevelType w:val="hybridMultilevel"/>
    <w:tmpl w:val="7E8A0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A15E1"/>
    <w:multiLevelType w:val="hybridMultilevel"/>
    <w:tmpl w:val="22CE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9" w15:restartNumberingAfterBreak="0">
    <w:nsid w:val="4323488C"/>
    <w:multiLevelType w:val="hybridMultilevel"/>
    <w:tmpl w:val="D18C807E"/>
    <w:lvl w:ilvl="0" w:tplc="23C82CF4">
      <w:start w:val="2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2A6AB9"/>
    <w:multiLevelType w:val="hybridMultilevel"/>
    <w:tmpl w:val="918C1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0370C"/>
    <w:multiLevelType w:val="hybridMultilevel"/>
    <w:tmpl w:val="0530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C13BAD"/>
    <w:multiLevelType w:val="hybridMultilevel"/>
    <w:tmpl w:val="E954D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D3247"/>
    <w:multiLevelType w:val="multilevel"/>
    <w:tmpl w:val="A8E83A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4833C4F"/>
    <w:multiLevelType w:val="hybridMultilevel"/>
    <w:tmpl w:val="DED4EC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C05608"/>
    <w:multiLevelType w:val="hybridMultilevel"/>
    <w:tmpl w:val="837C947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6" w15:restartNumberingAfterBreak="0">
    <w:nsid w:val="7DFC030D"/>
    <w:multiLevelType w:val="hybridMultilevel"/>
    <w:tmpl w:val="9528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0"/>
  </w:num>
  <w:num w:numId="4">
    <w:abstractNumId w:val="16"/>
  </w:num>
  <w:num w:numId="5">
    <w:abstractNumId w:val="6"/>
  </w:num>
  <w:num w:numId="6">
    <w:abstractNumId w:val="8"/>
  </w:num>
  <w:num w:numId="7">
    <w:abstractNumId w:val="13"/>
  </w:num>
  <w:num w:numId="8">
    <w:abstractNumId w:val="7"/>
  </w:num>
  <w:num w:numId="9">
    <w:abstractNumId w:val="10"/>
  </w:num>
  <w:num w:numId="10">
    <w:abstractNumId w:val="1"/>
  </w:num>
  <w:num w:numId="11">
    <w:abstractNumId w:val="2"/>
  </w:num>
  <w:num w:numId="12">
    <w:abstractNumId w:val="11"/>
  </w:num>
  <w:num w:numId="13">
    <w:abstractNumId w:val="14"/>
  </w:num>
  <w:num w:numId="14">
    <w:abstractNumId w:val="5"/>
  </w:num>
  <w:num w:numId="15">
    <w:abstractNumId w:val="12"/>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609"/>
    <w:rsid w:val="00115598"/>
    <w:rsid w:val="001639F0"/>
    <w:rsid w:val="0019418B"/>
    <w:rsid w:val="001D0891"/>
    <w:rsid w:val="001E4FA3"/>
    <w:rsid w:val="001F28D5"/>
    <w:rsid w:val="00211EDD"/>
    <w:rsid w:val="00222047"/>
    <w:rsid w:val="00251D00"/>
    <w:rsid w:val="002B1A4B"/>
    <w:rsid w:val="003610C1"/>
    <w:rsid w:val="003833B8"/>
    <w:rsid w:val="003900C7"/>
    <w:rsid w:val="003A2102"/>
    <w:rsid w:val="003D750E"/>
    <w:rsid w:val="003F6219"/>
    <w:rsid w:val="00410B98"/>
    <w:rsid w:val="00483B32"/>
    <w:rsid w:val="004E2D04"/>
    <w:rsid w:val="00527EE9"/>
    <w:rsid w:val="005658FB"/>
    <w:rsid w:val="005877DA"/>
    <w:rsid w:val="005F383F"/>
    <w:rsid w:val="006030FA"/>
    <w:rsid w:val="0063417A"/>
    <w:rsid w:val="006540C1"/>
    <w:rsid w:val="00655F31"/>
    <w:rsid w:val="006928D3"/>
    <w:rsid w:val="0069387D"/>
    <w:rsid w:val="006C0EC2"/>
    <w:rsid w:val="006D7036"/>
    <w:rsid w:val="00711B9E"/>
    <w:rsid w:val="0071510A"/>
    <w:rsid w:val="00715784"/>
    <w:rsid w:val="00765187"/>
    <w:rsid w:val="007B0CA8"/>
    <w:rsid w:val="007B4609"/>
    <w:rsid w:val="007C60E6"/>
    <w:rsid w:val="007D56E5"/>
    <w:rsid w:val="007E771A"/>
    <w:rsid w:val="00824C96"/>
    <w:rsid w:val="00854DDA"/>
    <w:rsid w:val="00876E6D"/>
    <w:rsid w:val="008F28F9"/>
    <w:rsid w:val="009316C0"/>
    <w:rsid w:val="0095052B"/>
    <w:rsid w:val="009D0990"/>
    <w:rsid w:val="009E22BC"/>
    <w:rsid w:val="009E4C62"/>
    <w:rsid w:val="00A029DE"/>
    <w:rsid w:val="00A04D6C"/>
    <w:rsid w:val="00A20FA5"/>
    <w:rsid w:val="00A51D9E"/>
    <w:rsid w:val="00A67ADC"/>
    <w:rsid w:val="00A972D9"/>
    <w:rsid w:val="00B21BDC"/>
    <w:rsid w:val="00B426C2"/>
    <w:rsid w:val="00B56806"/>
    <w:rsid w:val="00BA3C29"/>
    <w:rsid w:val="00BB34DD"/>
    <w:rsid w:val="00BB457B"/>
    <w:rsid w:val="00C55789"/>
    <w:rsid w:val="00C5705A"/>
    <w:rsid w:val="00C64A9B"/>
    <w:rsid w:val="00C94736"/>
    <w:rsid w:val="00CC3C6B"/>
    <w:rsid w:val="00CE06DE"/>
    <w:rsid w:val="00CF1871"/>
    <w:rsid w:val="00D06BD0"/>
    <w:rsid w:val="00D204BB"/>
    <w:rsid w:val="00D5596D"/>
    <w:rsid w:val="00DE72D6"/>
    <w:rsid w:val="00E01CD9"/>
    <w:rsid w:val="00E1215B"/>
    <w:rsid w:val="00E178BC"/>
    <w:rsid w:val="00E56A94"/>
    <w:rsid w:val="00F03F9B"/>
    <w:rsid w:val="00F4642B"/>
    <w:rsid w:val="00F51BF7"/>
    <w:rsid w:val="00F5320A"/>
    <w:rsid w:val="00F6323A"/>
    <w:rsid w:val="00F70637"/>
    <w:rsid w:val="00FF1A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B8418B"/>
  <w15:docId w15:val="{ADFFA1A1-E103-4CC4-8221-EF7E5DA80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187"/>
    <w:pPr>
      <w:keepNext/>
      <w:keepLines/>
      <w:numPr>
        <w:numId w:val="7"/>
      </w:numPr>
      <w:pBdr>
        <w:bottom w:val="single" w:sz="2" w:space="1" w:color="75A712"/>
      </w:pBdr>
      <w:spacing w:after="360" w:line="240" w:lineRule="auto"/>
      <w:ind w:left="709" w:hanging="709"/>
      <w:jc w:val="both"/>
      <w:outlineLvl w:val="0"/>
    </w:pPr>
    <w:rPr>
      <w:rFonts w:ascii="Arial" w:eastAsia="MS PGothic" w:hAnsi="Arial" w:cs="Times New Roman"/>
      <w:b/>
      <w:bCs/>
      <w:caps/>
      <w:color w:val="75A712"/>
      <w:sz w:val="34"/>
      <w:szCs w:val="40"/>
      <w:lang w:val="en-GB"/>
    </w:rPr>
  </w:style>
  <w:style w:type="paragraph" w:styleId="Heading2">
    <w:name w:val="heading 2"/>
    <w:basedOn w:val="Normal"/>
    <w:next w:val="Normal"/>
    <w:link w:val="Heading2Char"/>
    <w:uiPriority w:val="9"/>
    <w:qFormat/>
    <w:rsid w:val="00765187"/>
    <w:pPr>
      <w:keepNext/>
      <w:keepLines/>
      <w:numPr>
        <w:ilvl w:val="1"/>
        <w:numId w:val="7"/>
      </w:numPr>
      <w:spacing w:before="240" w:after="120" w:line="360" w:lineRule="auto"/>
      <w:ind w:left="709" w:hanging="709"/>
      <w:jc w:val="both"/>
      <w:outlineLvl w:val="1"/>
    </w:pPr>
    <w:rPr>
      <w:rFonts w:ascii="Arial" w:eastAsia="MS PGothic" w:hAnsi="Arial" w:cs="Times New Roman"/>
      <w:b/>
      <w:bCs/>
      <w:color w:val="0D0D0D"/>
      <w:sz w:val="28"/>
      <w:szCs w:val="28"/>
      <w:lang w:val="en-GB"/>
    </w:rPr>
  </w:style>
  <w:style w:type="paragraph" w:styleId="Heading3">
    <w:name w:val="heading 3"/>
    <w:basedOn w:val="Normal"/>
    <w:next w:val="Normal"/>
    <w:link w:val="Heading3Char"/>
    <w:uiPriority w:val="9"/>
    <w:qFormat/>
    <w:rsid w:val="00765187"/>
    <w:pPr>
      <w:keepNext/>
      <w:keepLines/>
      <w:numPr>
        <w:ilvl w:val="2"/>
        <w:numId w:val="7"/>
      </w:numPr>
      <w:spacing w:before="200" w:after="180" w:line="360" w:lineRule="auto"/>
      <w:jc w:val="both"/>
      <w:outlineLvl w:val="2"/>
    </w:pPr>
    <w:rPr>
      <w:rFonts w:ascii="Arial" w:eastAsia="MS PGothic" w:hAnsi="Arial" w:cs="Times New Roman"/>
      <w:i/>
      <w:iCs/>
      <w:color w:val="000000"/>
      <w:sz w:val="24"/>
      <w:szCs w:val="24"/>
      <w:lang w:val="en-GB"/>
    </w:rPr>
  </w:style>
  <w:style w:type="paragraph" w:styleId="Heading4">
    <w:name w:val="heading 4"/>
    <w:basedOn w:val="Normal"/>
    <w:next w:val="Normal"/>
    <w:link w:val="Heading4Char"/>
    <w:uiPriority w:val="9"/>
    <w:qFormat/>
    <w:rsid w:val="00765187"/>
    <w:pPr>
      <w:keepNext/>
      <w:keepLines/>
      <w:numPr>
        <w:ilvl w:val="3"/>
        <w:numId w:val="7"/>
      </w:numPr>
      <w:spacing w:before="200" w:after="180" w:line="360" w:lineRule="auto"/>
      <w:jc w:val="both"/>
      <w:outlineLvl w:val="3"/>
    </w:pPr>
    <w:rPr>
      <w:rFonts w:ascii="Arial" w:eastAsia="MS PGothic" w:hAnsi="Arial" w:cs="Times New Roman"/>
      <w:b/>
      <w:color w:val="75A712"/>
      <w:lang w:val="en-GB"/>
    </w:rPr>
  </w:style>
  <w:style w:type="paragraph" w:styleId="Heading5">
    <w:name w:val="heading 5"/>
    <w:basedOn w:val="Normal"/>
    <w:next w:val="Normal"/>
    <w:link w:val="Heading5Char"/>
    <w:uiPriority w:val="9"/>
    <w:qFormat/>
    <w:rsid w:val="00765187"/>
    <w:pPr>
      <w:keepNext/>
      <w:keepLines/>
      <w:numPr>
        <w:ilvl w:val="4"/>
        <w:numId w:val="7"/>
      </w:numPr>
      <w:spacing w:before="200" w:after="180" w:line="360" w:lineRule="auto"/>
      <w:jc w:val="both"/>
      <w:outlineLvl w:val="4"/>
    </w:pPr>
    <w:rPr>
      <w:rFonts w:ascii="Arial" w:eastAsia="MS PGothic" w:hAnsi="Arial" w:cs="Times New Roman"/>
      <w:color w:val="000000"/>
      <w:sz w:val="20"/>
      <w:szCs w:val="20"/>
      <w:lang w:val="en-GB"/>
    </w:rPr>
  </w:style>
  <w:style w:type="paragraph" w:styleId="Heading6">
    <w:name w:val="heading 6"/>
    <w:basedOn w:val="Normal"/>
    <w:next w:val="Normal"/>
    <w:link w:val="Heading6Char"/>
    <w:uiPriority w:val="9"/>
    <w:qFormat/>
    <w:rsid w:val="00765187"/>
    <w:pPr>
      <w:keepNext/>
      <w:keepLines/>
      <w:numPr>
        <w:ilvl w:val="5"/>
        <w:numId w:val="7"/>
      </w:numPr>
      <w:spacing w:before="200" w:after="180" w:line="360" w:lineRule="auto"/>
      <w:jc w:val="both"/>
      <w:outlineLvl w:val="5"/>
    </w:pPr>
    <w:rPr>
      <w:rFonts w:ascii="Arial" w:eastAsia="MS PGothic" w:hAnsi="Arial" w:cs="Times New Roman"/>
      <w:i/>
      <w:iCs/>
      <w:color w:val="000000"/>
      <w:sz w:val="18"/>
      <w:szCs w:val="24"/>
      <w:lang w:val="en-GB"/>
    </w:rPr>
  </w:style>
  <w:style w:type="paragraph" w:styleId="Heading7">
    <w:name w:val="heading 7"/>
    <w:basedOn w:val="Normal"/>
    <w:next w:val="Normal"/>
    <w:link w:val="Heading7Char"/>
    <w:uiPriority w:val="9"/>
    <w:semiHidden/>
    <w:unhideWhenUsed/>
    <w:qFormat/>
    <w:rsid w:val="00765187"/>
    <w:pPr>
      <w:keepNext/>
      <w:keepLines/>
      <w:numPr>
        <w:ilvl w:val="6"/>
        <w:numId w:val="7"/>
      </w:numPr>
      <w:spacing w:before="200" w:after="0" w:line="360" w:lineRule="auto"/>
      <w:jc w:val="both"/>
      <w:outlineLvl w:val="6"/>
    </w:pPr>
    <w:rPr>
      <w:rFonts w:asciiTheme="majorHAnsi" w:eastAsiaTheme="majorEastAsia" w:hAnsiTheme="majorHAnsi" w:cstheme="majorBidi"/>
      <w:i/>
      <w:iCs/>
      <w:color w:val="404040" w:themeColor="text1" w:themeTint="BF"/>
      <w:sz w:val="18"/>
      <w:szCs w:val="24"/>
      <w:lang w:val="en-GB"/>
    </w:rPr>
  </w:style>
  <w:style w:type="paragraph" w:styleId="Heading8">
    <w:name w:val="heading 8"/>
    <w:basedOn w:val="Normal"/>
    <w:next w:val="Normal"/>
    <w:link w:val="Heading8Char"/>
    <w:uiPriority w:val="9"/>
    <w:semiHidden/>
    <w:unhideWhenUsed/>
    <w:qFormat/>
    <w:rsid w:val="00765187"/>
    <w:pPr>
      <w:keepNext/>
      <w:keepLines/>
      <w:numPr>
        <w:ilvl w:val="7"/>
        <w:numId w:val="7"/>
      </w:numPr>
      <w:spacing w:before="200" w:after="0" w:line="360" w:lineRule="auto"/>
      <w:jc w:val="both"/>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uiPriority w:val="9"/>
    <w:semiHidden/>
    <w:unhideWhenUsed/>
    <w:qFormat/>
    <w:rsid w:val="00765187"/>
    <w:pPr>
      <w:keepNext/>
      <w:keepLines/>
      <w:numPr>
        <w:ilvl w:val="8"/>
        <w:numId w:val="7"/>
      </w:numPr>
      <w:spacing w:before="200" w:after="0" w:line="360" w:lineRule="auto"/>
      <w:jc w:val="both"/>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46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29DE"/>
    <w:rPr>
      <w:color w:val="0000FF" w:themeColor="hyperlink"/>
      <w:u w:val="single"/>
    </w:rPr>
  </w:style>
  <w:style w:type="character" w:customStyle="1" w:styleId="FootnoteTextChar">
    <w:name w:val="Footnote Text Char"/>
    <w:aliases w:val="Footnote.Text Char,ft Char"/>
    <w:basedOn w:val="DefaultParagraphFont"/>
    <w:link w:val="FootnoteText"/>
    <w:uiPriority w:val="99"/>
    <w:semiHidden/>
    <w:locked/>
    <w:rsid w:val="002B1A4B"/>
    <w:rPr>
      <w:sz w:val="20"/>
      <w:szCs w:val="20"/>
    </w:rPr>
  </w:style>
  <w:style w:type="paragraph" w:styleId="FootnoteText">
    <w:name w:val="footnote text"/>
    <w:aliases w:val="Footnote.Text,ft"/>
    <w:basedOn w:val="Normal"/>
    <w:link w:val="FootnoteTextChar"/>
    <w:uiPriority w:val="99"/>
    <w:semiHidden/>
    <w:unhideWhenUsed/>
    <w:rsid w:val="002B1A4B"/>
    <w:pPr>
      <w:spacing w:after="0" w:line="240" w:lineRule="auto"/>
    </w:pPr>
    <w:rPr>
      <w:sz w:val="20"/>
      <w:szCs w:val="20"/>
    </w:rPr>
  </w:style>
  <w:style w:type="character" w:customStyle="1" w:styleId="FootnoteTextChar1">
    <w:name w:val="Footnote Text Char1"/>
    <w:basedOn w:val="DefaultParagraphFont"/>
    <w:uiPriority w:val="99"/>
    <w:semiHidden/>
    <w:rsid w:val="002B1A4B"/>
    <w:rPr>
      <w:sz w:val="20"/>
      <w:szCs w:val="20"/>
    </w:rPr>
  </w:style>
  <w:style w:type="paragraph" w:styleId="CommentText">
    <w:name w:val="annotation text"/>
    <w:basedOn w:val="Normal"/>
    <w:link w:val="CommentTextChar"/>
    <w:uiPriority w:val="99"/>
    <w:semiHidden/>
    <w:unhideWhenUsed/>
    <w:rsid w:val="002B1A4B"/>
    <w:pPr>
      <w:spacing w:before="200" w:line="240" w:lineRule="auto"/>
    </w:pPr>
    <w:rPr>
      <w:rFonts w:eastAsiaTheme="minorEastAsia"/>
      <w:sz w:val="20"/>
      <w:szCs w:val="20"/>
      <w:lang w:bidi="en-US"/>
    </w:rPr>
  </w:style>
  <w:style w:type="character" w:customStyle="1" w:styleId="CommentTextChar">
    <w:name w:val="Comment Text Char"/>
    <w:basedOn w:val="DefaultParagraphFont"/>
    <w:link w:val="CommentText"/>
    <w:uiPriority w:val="99"/>
    <w:semiHidden/>
    <w:rsid w:val="002B1A4B"/>
    <w:rPr>
      <w:rFonts w:eastAsiaTheme="minorEastAsia"/>
      <w:sz w:val="20"/>
      <w:szCs w:val="20"/>
      <w:lang w:bidi="en-US"/>
    </w:rPr>
  </w:style>
  <w:style w:type="character" w:customStyle="1" w:styleId="ListParagraphChar">
    <w:name w:val="List Paragraph Char"/>
    <w:aliases w:val="heading 2 Char,List Paragraph 1 Char"/>
    <w:link w:val="ListParagraph"/>
    <w:uiPriority w:val="34"/>
    <w:locked/>
    <w:rsid w:val="002B1A4B"/>
  </w:style>
  <w:style w:type="paragraph" w:styleId="ListParagraph">
    <w:name w:val="List Paragraph"/>
    <w:aliases w:val="heading 2,List Paragraph 1"/>
    <w:basedOn w:val="Normal"/>
    <w:link w:val="ListParagraphChar"/>
    <w:uiPriority w:val="34"/>
    <w:qFormat/>
    <w:rsid w:val="002B1A4B"/>
    <w:pPr>
      <w:ind w:left="720"/>
      <w:contextualSpacing/>
    </w:pPr>
  </w:style>
  <w:style w:type="character" w:styleId="FootnoteReference">
    <w:name w:val="footnote reference"/>
    <w:aliases w:val="ftref,16 Point,Superscript 6 Point,Footnote Reference Number,Ref,de nota al pie,BVI fnr,Superscript 10 Point,Footnote symbol,Footnotes refss"/>
    <w:basedOn w:val="DefaultParagraphFont"/>
    <w:uiPriority w:val="99"/>
    <w:semiHidden/>
    <w:unhideWhenUsed/>
    <w:rsid w:val="002B1A4B"/>
    <w:rPr>
      <w:vertAlign w:val="superscript"/>
    </w:rPr>
  </w:style>
  <w:style w:type="character" w:styleId="CommentReference">
    <w:name w:val="annotation reference"/>
    <w:basedOn w:val="DefaultParagraphFont"/>
    <w:uiPriority w:val="99"/>
    <w:semiHidden/>
    <w:unhideWhenUsed/>
    <w:rsid w:val="002B1A4B"/>
    <w:rPr>
      <w:sz w:val="16"/>
      <w:szCs w:val="16"/>
    </w:rPr>
  </w:style>
  <w:style w:type="paragraph" w:styleId="BalloonText">
    <w:name w:val="Balloon Text"/>
    <w:basedOn w:val="Normal"/>
    <w:link w:val="BalloonTextChar"/>
    <w:uiPriority w:val="99"/>
    <w:semiHidden/>
    <w:unhideWhenUsed/>
    <w:rsid w:val="002B1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A4B"/>
    <w:rPr>
      <w:rFonts w:ascii="Tahoma" w:hAnsi="Tahoma" w:cs="Tahoma"/>
      <w:sz w:val="16"/>
      <w:szCs w:val="16"/>
    </w:rPr>
  </w:style>
  <w:style w:type="character" w:customStyle="1" w:styleId="Heading1Char">
    <w:name w:val="Heading 1 Char"/>
    <w:basedOn w:val="DefaultParagraphFont"/>
    <w:link w:val="Heading1"/>
    <w:uiPriority w:val="9"/>
    <w:rsid w:val="00765187"/>
    <w:rPr>
      <w:rFonts w:ascii="Arial" w:eastAsia="MS PGothic" w:hAnsi="Arial" w:cs="Times New Roman"/>
      <w:b/>
      <w:bCs/>
      <w:caps/>
      <w:color w:val="75A712"/>
      <w:sz w:val="34"/>
      <w:szCs w:val="40"/>
      <w:lang w:val="en-GB"/>
    </w:rPr>
  </w:style>
  <w:style w:type="character" w:customStyle="1" w:styleId="Heading2Char">
    <w:name w:val="Heading 2 Char"/>
    <w:basedOn w:val="DefaultParagraphFont"/>
    <w:link w:val="Heading2"/>
    <w:uiPriority w:val="9"/>
    <w:rsid w:val="00765187"/>
    <w:rPr>
      <w:rFonts w:ascii="Arial" w:eastAsia="MS PGothic" w:hAnsi="Arial" w:cs="Times New Roman"/>
      <w:b/>
      <w:bCs/>
      <w:color w:val="0D0D0D"/>
      <w:sz w:val="28"/>
      <w:szCs w:val="28"/>
      <w:lang w:val="en-GB"/>
    </w:rPr>
  </w:style>
  <w:style w:type="character" w:customStyle="1" w:styleId="Heading3Char">
    <w:name w:val="Heading 3 Char"/>
    <w:basedOn w:val="DefaultParagraphFont"/>
    <w:link w:val="Heading3"/>
    <w:uiPriority w:val="9"/>
    <w:rsid w:val="00765187"/>
    <w:rPr>
      <w:rFonts w:ascii="Arial" w:eastAsia="MS PGothic" w:hAnsi="Arial" w:cs="Times New Roman"/>
      <w:i/>
      <w:iCs/>
      <w:color w:val="000000"/>
      <w:sz w:val="24"/>
      <w:szCs w:val="24"/>
      <w:lang w:val="en-GB"/>
    </w:rPr>
  </w:style>
  <w:style w:type="character" w:customStyle="1" w:styleId="Heading4Char">
    <w:name w:val="Heading 4 Char"/>
    <w:basedOn w:val="DefaultParagraphFont"/>
    <w:link w:val="Heading4"/>
    <w:uiPriority w:val="9"/>
    <w:rsid w:val="00765187"/>
    <w:rPr>
      <w:rFonts w:ascii="Arial" w:eastAsia="MS PGothic" w:hAnsi="Arial" w:cs="Times New Roman"/>
      <w:b/>
      <w:color w:val="75A712"/>
      <w:lang w:val="en-GB"/>
    </w:rPr>
  </w:style>
  <w:style w:type="character" w:customStyle="1" w:styleId="Heading5Char">
    <w:name w:val="Heading 5 Char"/>
    <w:basedOn w:val="DefaultParagraphFont"/>
    <w:link w:val="Heading5"/>
    <w:uiPriority w:val="9"/>
    <w:rsid w:val="00765187"/>
    <w:rPr>
      <w:rFonts w:ascii="Arial" w:eastAsia="MS PGothic" w:hAnsi="Arial" w:cs="Times New Roman"/>
      <w:color w:val="000000"/>
      <w:sz w:val="20"/>
      <w:szCs w:val="20"/>
      <w:lang w:val="en-GB"/>
    </w:rPr>
  </w:style>
  <w:style w:type="character" w:customStyle="1" w:styleId="Heading6Char">
    <w:name w:val="Heading 6 Char"/>
    <w:basedOn w:val="DefaultParagraphFont"/>
    <w:link w:val="Heading6"/>
    <w:uiPriority w:val="9"/>
    <w:rsid w:val="00765187"/>
    <w:rPr>
      <w:rFonts w:ascii="Arial" w:eastAsia="MS PGothic" w:hAnsi="Arial" w:cs="Times New Roman"/>
      <w:i/>
      <w:iCs/>
      <w:color w:val="000000"/>
      <w:sz w:val="18"/>
      <w:szCs w:val="24"/>
      <w:lang w:val="en-GB"/>
    </w:rPr>
  </w:style>
  <w:style w:type="character" w:customStyle="1" w:styleId="Heading7Char">
    <w:name w:val="Heading 7 Char"/>
    <w:basedOn w:val="DefaultParagraphFont"/>
    <w:link w:val="Heading7"/>
    <w:uiPriority w:val="9"/>
    <w:semiHidden/>
    <w:rsid w:val="00765187"/>
    <w:rPr>
      <w:rFonts w:asciiTheme="majorHAnsi" w:eastAsiaTheme="majorEastAsia" w:hAnsiTheme="majorHAnsi" w:cstheme="majorBidi"/>
      <w:i/>
      <w:iCs/>
      <w:color w:val="404040" w:themeColor="text1" w:themeTint="BF"/>
      <w:sz w:val="18"/>
      <w:szCs w:val="24"/>
      <w:lang w:val="en-GB"/>
    </w:rPr>
  </w:style>
  <w:style w:type="character" w:customStyle="1" w:styleId="Heading8Char">
    <w:name w:val="Heading 8 Char"/>
    <w:basedOn w:val="DefaultParagraphFont"/>
    <w:link w:val="Heading8"/>
    <w:uiPriority w:val="9"/>
    <w:semiHidden/>
    <w:rsid w:val="00765187"/>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765187"/>
    <w:rPr>
      <w:rFonts w:asciiTheme="majorHAnsi" w:eastAsiaTheme="majorEastAsia" w:hAnsiTheme="majorHAnsi" w:cstheme="majorBidi"/>
      <w:i/>
      <w:iCs/>
      <w:color w:val="404040" w:themeColor="text1" w:themeTint="BF"/>
      <w:sz w:val="20"/>
      <w:szCs w:val="20"/>
      <w:lang w:val="en-GB"/>
    </w:rPr>
  </w:style>
  <w:style w:type="table" w:styleId="TableGrid">
    <w:name w:val="Table Grid"/>
    <w:basedOn w:val="TableNormal"/>
    <w:uiPriority w:val="59"/>
    <w:rsid w:val="00765187"/>
    <w:pPr>
      <w:spacing w:after="0" w:line="240" w:lineRule="auto"/>
    </w:pPr>
    <w:rPr>
      <w:rFonts w:ascii="Calibri" w:eastAsia="MS PGothic"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Featuredlist">
    <w:name w:val="GH_Featured list"/>
    <w:basedOn w:val="Normal"/>
    <w:qFormat/>
    <w:rsid w:val="00765187"/>
    <w:pPr>
      <w:numPr>
        <w:numId w:val="6"/>
      </w:numPr>
      <w:tabs>
        <w:tab w:val="clear" w:pos="5105"/>
        <w:tab w:val="num" w:pos="851"/>
      </w:tabs>
      <w:spacing w:after="180" w:line="360" w:lineRule="auto"/>
      <w:ind w:left="851"/>
      <w:contextualSpacing/>
      <w:jc w:val="both"/>
    </w:pPr>
    <w:rPr>
      <w:rFonts w:ascii="Arial" w:eastAsia="MS PGothic" w:hAnsi="Arial" w:cs="Times New Roman"/>
      <w:sz w:val="18"/>
      <w:szCs w:val="24"/>
      <w:lang w:val="en-GB"/>
    </w:rPr>
  </w:style>
  <w:style w:type="paragraph" w:customStyle="1" w:styleId="GHTableBody">
    <w:name w:val="GH_Table Body"/>
    <w:basedOn w:val="Normal"/>
    <w:qFormat/>
    <w:rsid w:val="00765187"/>
    <w:pPr>
      <w:spacing w:before="60" w:after="60" w:line="240" w:lineRule="auto"/>
    </w:pPr>
    <w:rPr>
      <w:rFonts w:ascii="Arial" w:eastAsia="MS PGothic" w:hAnsi="Arial" w:cs="Times New Roman"/>
      <w:sz w:val="16"/>
      <w:szCs w:val="24"/>
      <w:lang w:val="en-GB"/>
    </w:rPr>
  </w:style>
  <w:style w:type="paragraph" w:customStyle="1" w:styleId="Appendixlevel1">
    <w:name w:val="Appendix level 1"/>
    <w:basedOn w:val="Heading1"/>
    <w:next w:val="Normal"/>
    <w:link w:val="Appendixlevel1Char"/>
    <w:qFormat/>
    <w:rsid w:val="00765187"/>
    <w:pPr>
      <w:numPr>
        <w:numId w:val="8"/>
      </w:numPr>
      <w:pBdr>
        <w:bottom w:val="single" w:sz="4" w:space="1" w:color="669900"/>
      </w:pBdr>
      <w:ind w:left="709" w:hanging="709"/>
    </w:pPr>
    <w:rPr>
      <w:color w:val="669900"/>
      <w:szCs w:val="34"/>
    </w:rPr>
  </w:style>
  <w:style w:type="character" w:customStyle="1" w:styleId="Appendixlevel1Char">
    <w:name w:val="Appendix level 1 Char"/>
    <w:basedOn w:val="Heading1Char"/>
    <w:link w:val="Appendixlevel1"/>
    <w:rsid w:val="00765187"/>
    <w:rPr>
      <w:rFonts w:ascii="Arial" w:eastAsia="MS PGothic" w:hAnsi="Arial" w:cs="Times New Roman"/>
      <w:b/>
      <w:bCs/>
      <w:caps/>
      <w:color w:val="669900"/>
      <w:sz w:val="34"/>
      <w:szCs w:val="34"/>
      <w:lang w:val="en-GB"/>
    </w:rPr>
  </w:style>
  <w:style w:type="paragraph" w:styleId="Quote">
    <w:name w:val="Quote"/>
    <w:basedOn w:val="Normal"/>
    <w:next w:val="Normal"/>
    <w:link w:val="QuoteChar"/>
    <w:uiPriority w:val="29"/>
    <w:qFormat/>
    <w:rsid w:val="00765187"/>
    <w:pPr>
      <w:spacing w:after="180" w:line="360" w:lineRule="auto"/>
      <w:jc w:val="both"/>
    </w:pPr>
    <w:rPr>
      <w:rFonts w:ascii="Arial" w:eastAsia="MS PGothic" w:hAnsi="Arial" w:cs="Times New Roman"/>
      <w:i/>
      <w:iCs/>
      <w:color w:val="000000" w:themeColor="text1"/>
      <w:sz w:val="18"/>
      <w:szCs w:val="24"/>
      <w:lang w:val="en-GB"/>
    </w:rPr>
  </w:style>
  <w:style w:type="character" w:customStyle="1" w:styleId="QuoteChar">
    <w:name w:val="Quote Char"/>
    <w:basedOn w:val="DefaultParagraphFont"/>
    <w:link w:val="Quote"/>
    <w:uiPriority w:val="29"/>
    <w:rsid w:val="00765187"/>
    <w:rPr>
      <w:rFonts w:ascii="Arial" w:eastAsia="MS PGothic" w:hAnsi="Arial" w:cs="Times New Roman"/>
      <w:i/>
      <w:iCs/>
      <w:color w:val="000000" w:themeColor="text1"/>
      <w:sz w:val="18"/>
      <w:szCs w:val="24"/>
      <w:lang w:val="en-GB"/>
    </w:rPr>
  </w:style>
  <w:style w:type="character" w:customStyle="1" w:styleId="ilfuvd">
    <w:name w:val="ilfuvd"/>
    <w:basedOn w:val="DefaultParagraphFont"/>
    <w:rsid w:val="00765187"/>
  </w:style>
  <w:style w:type="character" w:styleId="UnresolvedMention">
    <w:name w:val="Unresolved Mention"/>
    <w:basedOn w:val="DefaultParagraphFont"/>
    <w:uiPriority w:val="99"/>
    <w:semiHidden/>
    <w:unhideWhenUsed/>
    <w:rsid w:val="00E121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20971">
      <w:bodyDiv w:val="1"/>
      <w:marLeft w:val="0"/>
      <w:marRight w:val="0"/>
      <w:marTop w:val="0"/>
      <w:marBottom w:val="0"/>
      <w:divBdr>
        <w:top w:val="none" w:sz="0" w:space="0" w:color="auto"/>
        <w:left w:val="none" w:sz="0" w:space="0" w:color="auto"/>
        <w:bottom w:val="none" w:sz="0" w:space="0" w:color="auto"/>
        <w:right w:val="none" w:sz="0" w:space="0" w:color="auto"/>
      </w:divBdr>
    </w:div>
    <w:div w:id="54460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samp.org/"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www.unenvironment.org/explore-topics/oceans-seas/what-we-do/working-regional-seas" TargetMode="External"/><Relationship Id="rId12" Type="http://schemas.openxmlformats.org/officeDocument/2006/relationships/hyperlink" Target="https://wedocs.unep.org/bitstream/handle/20.500.11822/26440/MSP_ICZM_Guidelines.pdf?sequence=1&amp;isAllowed=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docs.unep.org/bitstream/handle/20.500.11822/27295/ocean_SDG.pdf?sequence=1&amp;isAllowed=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uneplive.unep.org/egm/kenyamarinelitter" TargetMode="External"/><Relationship Id="rId4" Type="http://schemas.openxmlformats.org/officeDocument/2006/relationships/webSettings" Target="webSettings.xml"/><Relationship Id="rId9" Type="http://schemas.openxmlformats.org/officeDocument/2006/relationships/hyperlink" Target="https://uneplive.unep.org/egm/pariseutrophication" TargetMode="Externa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2461</Words>
  <Characters>14033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Jillian Campbell</dc:creator>
  <cp:lastModifiedBy>Jillian Campbell</cp:lastModifiedBy>
  <cp:revision>2</cp:revision>
  <dcterms:created xsi:type="dcterms:W3CDTF">2019-10-02T14:03:00Z</dcterms:created>
  <dcterms:modified xsi:type="dcterms:W3CDTF">2019-10-02T14:03:00Z</dcterms:modified>
</cp:coreProperties>
</file>